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1EAC5A">
      <w:pPr>
        <w:widowControl/>
        <w:spacing w:line="540" w:lineRule="exact"/>
        <w:ind w:firstLine="1760" w:firstLineChars="400"/>
        <w:jc w:val="both"/>
        <w:rPr>
          <w:rFonts w:hint="default" w:ascii="黑体" w:hAnsi="黑体" w:eastAsia="黑体" w:cs="黑体"/>
          <w:bCs/>
          <w:color w:val="000000" w:themeColor="text1"/>
          <w:kern w:val="0"/>
          <w:sz w:val="44"/>
          <w:szCs w:val="44"/>
          <w:lang w:val="en-US" w:eastAsia="zh-CN"/>
          <w14:textFill>
            <w14:solidFill>
              <w14:schemeClr w14:val="tx1"/>
            </w14:solidFill>
          </w14:textFill>
        </w:rPr>
      </w:pPr>
      <w:r>
        <w:rPr>
          <w:rFonts w:hint="eastAsia" w:ascii="黑体" w:hAnsi="黑体" w:eastAsia="黑体" w:cs="黑体"/>
          <w:bCs/>
          <w:color w:val="000000" w:themeColor="text1"/>
          <w:kern w:val="0"/>
          <w:sz w:val="44"/>
          <w:szCs w:val="44"/>
          <w:lang w:val="en-US" w:eastAsia="zh-CN"/>
          <w14:textFill>
            <w14:solidFill>
              <w14:schemeClr w14:val="tx1"/>
            </w14:solidFill>
          </w14:textFill>
        </w:rPr>
        <w:t>2025年居民住院医保待遇</w:t>
      </w:r>
    </w:p>
    <w:p w14:paraId="5594C50C">
      <w:pPr>
        <w:numPr>
          <w:ilvl w:val="0"/>
          <w:numId w:val="0"/>
        </w:numPr>
        <w:spacing w:line="540" w:lineRule="exact"/>
        <w:ind w:firstLine="640" w:firstLineChars="200"/>
        <w:rPr>
          <w:rFonts w:hint="eastAsia" w:ascii="黑体" w:hAnsi="黑体" w:eastAsia="黑体" w:cs="黑体"/>
          <w:bCs/>
          <w:color w:val="000000" w:themeColor="text1"/>
          <w:kern w:val="0"/>
          <w:sz w:val="32"/>
          <w:szCs w:val="32"/>
          <w14:textFill>
            <w14:solidFill>
              <w14:schemeClr w14:val="tx1"/>
            </w14:solidFill>
          </w14:textFill>
        </w:rPr>
      </w:pPr>
      <w:r>
        <w:rPr>
          <w:rFonts w:hint="eastAsia" w:ascii="黑体" w:hAnsi="黑体" w:eastAsia="黑体" w:cs="黑体"/>
          <w:bCs/>
          <w:color w:val="000000" w:themeColor="text1"/>
          <w:kern w:val="0"/>
          <w:sz w:val="32"/>
          <w:szCs w:val="32"/>
          <w:lang w:val="en-US" w:eastAsia="zh-CN"/>
          <w14:textFill>
            <w14:solidFill>
              <w14:schemeClr w14:val="tx1"/>
            </w14:solidFill>
          </w14:textFill>
        </w:rPr>
        <w:t>一、</w:t>
      </w:r>
      <w:r>
        <w:rPr>
          <w:rFonts w:hint="eastAsia" w:ascii="黑体" w:hAnsi="黑体" w:eastAsia="黑体" w:cs="黑体"/>
          <w:bCs/>
          <w:color w:val="000000" w:themeColor="text1"/>
          <w:kern w:val="0"/>
          <w:sz w:val="32"/>
          <w:szCs w:val="32"/>
          <w14:textFill>
            <w14:solidFill>
              <w14:schemeClr w14:val="tx1"/>
            </w14:solidFill>
          </w14:textFill>
        </w:rPr>
        <w:t>居民医保住院费用报销比例是多少？</w:t>
      </w:r>
    </w:p>
    <w:p w14:paraId="08AC9A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3" w:firstLineChars="200"/>
        <w:textAlignment w:val="auto"/>
        <w:rPr>
          <w:rFonts w:hint="eastAsia"/>
          <w:color w:val="000000" w:themeColor="text1"/>
          <w:lang w:val="en-US" w:eastAsia="zh-CN"/>
          <w14:textFill>
            <w14:solidFill>
              <w14:schemeClr w14:val="tx1"/>
            </w14:solidFill>
          </w14:textFill>
        </w:rPr>
      </w:pPr>
      <w:r>
        <w:rPr>
          <w:rFonts w:hint="eastAsia" w:ascii="楷体" w:hAnsi="楷体" w:eastAsia="楷体" w:cs="楷体"/>
          <w:b/>
          <w:bCs/>
          <w:color w:val="000000" w:themeColor="text1"/>
          <w:sz w:val="32"/>
          <w:lang w:val="en-US" w:eastAsia="zh-CN"/>
          <w14:textFill>
            <w14:solidFill>
              <w14:schemeClr w14:val="tx1"/>
            </w14:solidFill>
          </w14:textFill>
        </w:rPr>
        <w:t>普通住院:</w:t>
      </w:r>
      <w:r>
        <w:rPr>
          <w:rFonts w:hint="eastAsia" w:ascii="仿宋_GB2312" w:eastAsia="仿宋_GB2312"/>
          <w:color w:val="000000" w:themeColor="text1"/>
          <w:sz w:val="32"/>
          <w14:textFill>
            <w14:solidFill>
              <w14:schemeClr w14:val="tx1"/>
            </w14:solidFill>
          </w14:textFill>
        </w:rPr>
        <w:t>居民医保参保人员在定点医疗机构住院发生的医疗费用，符合医保政策范围内医疗费用具体</w:t>
      </w:r>
      <w:r>
        <w:rPr>
          <w:rFonts w:hint="eastAsia" w:ascii="仿宋_GB2312" w:eastAsia="仿宋_GB2312"/>
          <w:color w:val="000000" w:themeColor="text1"/>
          <w:sz w:val="32"/>
          <w:szCs w:val="32"/>
          <w14:textFill>
            <w14:solidFill>
              <w14:schemeClr w14:val="tx1"/>
            </w14:solidFill>
          </w14:textFill>
        </w:rPr>
        <w:t>报销比例如下</w:t>
      </w:r>
      <w:r>
        <w:rPr>
          <w:rFonts w:hint="eastAsia" w:ascii="仿宋_GB2312" w:eastAsia="仿宋_GB2312"/>
          <w:color w:val="000000" w:themeColor="text1"/>
          <w:sz w:val="32"/>
          <w:szCs w:val="32"/>
          <w:lang w:eastAsia="zh-CN"/>
          <w14:textFill>
            <w14:solidFill>
              <w14:schemeClr w14:val="tx1"/>
            </w14:solidFill>
          </w14:textFill>
        </w:rPr>
        <w:t>：</w:t>
      </w:r>
    </w:p>
    <w:tbl>
      <w:tblPr>
        <w:tblStyle w:val="4"/>
        <w:tblpPr w:leftFromText="180" w:rightFromText="180" w:vertAnchor="text" w:horzAnchor="page" w:tblpXSpec="center" w:tblpY="1896"/>
        <w:tblOverlap w:val="never"/>
        <w:tblW w:w="10640" w:type="dxa"/>
        <w:jc w:val="center"/>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shd w:val="clear" w:color="auto" w:fill="auto"/>
        <w:tblLayout w:type="fixed"/>
        <w:tblCellMar>
          <w:top w:w="0" w:type="dxa"/>
          <w:left w:w="108" w:type="dxa"/>
          <w:bottom w:w="0" w:type="dxa"/>
          <w:right w:w="108" w:type="dxa"/>
        </w:tblCellMar>
      </w:tblPr>
      <w:tblGrid>
        <w:gridCol w:w="1248"/>
        <w:gridCol w:w="2700"/>
        <w:gridCol w:w="1860"/>
        <w:gridCol w:w="1320"/>
        <w:gridCol w:w="3512"/>
      </w:tblGrid>
      <w:tr w14:paraId="21A2DB28">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shd w:val="clear" w:color="auto" w:fill="auto"/>
          <w:tblCellMar>
            <w:top w:w="0" w:type="dxa"/>
            <w:left w:w="108" w:type="dxa"/>
            <w:bottom w:w="0" w:type="dxa"/>
            <w:right w:w="108" w:type="dxa"/>
          </w:tblCellMar>
        </w:tblPrEx>
        <w:trPr>
          <w:trHeight w:val="615" w:hRule="atLeast"/>
          <w:jc w:val="center"/>
        </w:trPr>
        <w:tc>
          <w:tcPr>
            <w:tcW w:w="10640" w:type="dxa"/>
            <w:gridSpan w:val="5"/>
            <w:shd w:val="clear" w:color="auto" w:fill="DBE3F4" w:themeFill="accent1" w:themeFillTint="32"/>
            <w:vAlign w:val="center"/>
          </w:tcPr>
          <w:p w14:paraId="255EF6DA">
            <w:pPr>
              <w:tabs>
                <w:tab w:val="left" w:pos="3136"/>
              </w:tabs>
              <w:jc w:val="center"/>
              <w:rPr>
                <w:rFonts w:hint="default"/>
                <w:color w:val="000000" w:themeColor="text1"/>
                <w:vertAlign w:val="baseline"/>
                <w:lang w:val="en-US" w:eastAsia="zh-CN"/>
                <w14:textFill>
                  <w14:solidFill>
                    <w14:schemeClr w14:val="tx1"/>
                  </w14:solidFill>
                </w14:textFill>
              </w:rPr>
            </w:pPr>
            <w:r>
              <w:rPr>
                <w:rFonts w:hint="eastAsia" w:ascii="方正小标宋简体" w:hAnsi="宋体" w:eastAsia="方正小标宋简体" w:cs="宋体"/>
                <w:color w:val="000000" w:themeColor="text1"/>
                <w:kern w:val="0"/>
                <w:sz w:val="32"/>
                <w:szCs w:val="32"/>
                <w:shd w:val="clear"/>
                <w14:textFill>
                  <w14:solidFill>
                    <w14:schemeClr w14:val="tx1"/>
                  </w14:solidFill>
                </w14:textFill>
              </w:rPr>
              <w:t>蚌埠市（统筹地区）城乡居民基本医疗统筹基金及大病支付比例</w:t>
            </w:r>
          </w:p>
        </w:tc>
      </w:tr>
      <w:tr w14:paraId="4C50A98F">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615" w:hRule="atLeast"/>
          <w:jc w:val="center"/>
        </w:trPr>
        <w:tc>
          <w:tcPr>
            <w:tcW w:w="1248" w:type="dxa"/>
            <w:shd w:val="clear" w:color="auto" w:fill="auto"/>
            <w:vAlign w:val="center"/>
          </w:tcPr>
          <w:p w14:paraId="4546D2C9">
            <w:pPr>
              <w:tabs>
                <w:tab w:val="right" w:pos="1488"/>
              </w:tabs>
              <w:jc w:val="center"/>
              <w:rPr>
                <w:rFonts w:hint="eastAsia" w:cstheme="minorBidi"/>
                <w:color w:val="000000" w:themeColor="text1"/>
                <w:kern w:val="2"/>
                <w:sz w:val="21"/>
                <w:szCs w:val="24"/>
                <w:vertAlign w:val="baseline"/>
                <w:lang w:val="en-US" w:eastAsia="zh-CN" w:bidi="ar-SA"/>
                <w14:textFill>
                  <w14:solidFill>
                    <w14:schemeClr w14:val="tx1"/>
                  </w14:solidFill>
                </w14:textFill>
              </w:rPr>
            </w:pPr>
          </w:p>
        </w:tc>
        <w:tc>
          <w:tcPr>
            <w:tcW w:w="5880" w:type="dxa"/>
            <w:gridSpan w:val="3"/>
            <w:tcBorders>
              <w:right w:val="single" w:color="91ABDF" w:themeColor="accent1" w:themeTint="99" w:sz="12" w:space="0"/>
            </w:tcBorders>
            <w:shd w:val="clear" w:color="auto" w:fill="auto"/>
            <w:vAlign w:val="center"/>
          </w:tcPr>
          <w:p w14:paraId="63ACA456">
            <w:pPr>
              <w:jc w:val="center"/>
              <w:rPr>
                <w:rFonts w:hint="eastAsia" w:ascii="仿宋" w:hAnsi="仿宋" w:eastAsia="仿宋" w:cs="仿宋"/>
                <w:b/>
                <w:bCs/>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2"/>
                <w:sz w:val="22"/>
                <w:szCs w:val="22"/>
                <w:vertAlign w:val="baseline"/>
                <w:lang w:val="en-US" w:eastAsia="zh-CN" w:bidi="ar-SA"/>
                <w14:textFill>
                  <w14:solidFill>
                    <w14:schemeClr w14:val="tx1"/>
                  </w14:solidFill>
                </w14:textFill>
              </w:rPr>
              <w:t>基本医疗保险待遇</w:t>
            </w:r>
          </w:p>
        </w:tc>
        <w:tc>
          <w:tcPr>
            <w:tcW w:w="3512" w:type="dxa"/>
            <w:tcBorders>
              <w:left w:val="single" w:color="91ABDF" w:themeColor="accent1" w:themeTint="99" w:sz="12" w:space="0"/>
            </w:tcBorders>
            <w:shd w:val="clear" w:color="auto" w:fill="auto"/>
            <w:vAlign w:val="center"/>
          </w:tcPr>
          <w:p w14:paraId="41DA383A">
            <w:pPr>
              <w:jc w:val="center"/>
              <w:rPr>
                <w:rFonts w:hint="eastAsia" w:ascii="仿宋" w:hAnsi="仿宋" w:eastAsia="仿宋" w:cs="仿宋"/>
                <w:b/>
                <w:bCs/>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b/>
                <w:bCs/>
                <w:color w:val="000000" w:themeColor="text1"/>
                <w:sz w:val="22"/>
                <w:szCs w:val="22"/>
                <w:vertAlign w:val="baseline"/>
                <w:lang w:val="en-US" w:eastAsia="zh-CN"/>
                <w14:textFill>
                  <w14:solidFill>
                    <w14:schemeClr w14:val="tx1"/>
                  </w14:solidFill>
                </w14:textFill>
              </w:rPr>
              <w:t>大病保险待遇</w:t>
            </w:r>
          </w:p>
        </w:tc>
      </w:tr>
      <w:tr w14:paraId="42223944">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615" w:hRule="atLeast"/>
          <w:jc w:val="center"/>
        </w:trPr>
        <w:tc>
          <w:tcPr>
            <w:tcW w:w="1248" w:type="dxa"/>
            <w:shd w:val="clear" w:color="auto" w:fill="auto"/>
            <w:vAlign w:val="center"/>
          </w:tcPr>
          <w:p w14:paraId="2A08CAD2">
            <w:pPr>
              <w:tabs>
                <w:tab w:val="right" w:pos="1488"/>
              </w:tabs>
              <w:jc w:val="center"/>
              <w:rPr>
                <w:rFonts w:hint="default" w:cstheme="minorBidi"/>
                <w:color w:val="000000" w:themeColor="text1"/>
                <w:kern w:val="2"/>
                <w:sz w:val="21"/>
                <w:szCs w:val="24"/>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2"/>
                <w:sz w:val="22"/>
                <w:szCs w:val="22"/>
                <w:vertAlign w:val="baseline"/>
                <w:lang w:val="en-US" w:eastAsia="zh-CN" w:bidi="ar-SA"/>
                <w14:textFill>
                  <w14:solidFill>
                    <w14:schemeClr w14:val="tx1"/>
                  </w14:solidFill>
                </w14:textFill>
              </w:rPr>
              <w:t>备案类别</w:t>
            </w:r>
          </w:p>
        </w:tc>
        <w:tc>
          <w:tcPr>
            <w:tcW w:w="2700" w:type="dxa"/>
            <w:shd w:val="clear" w:color="auto" w:fill="auto"/>
            <w:vAlign w:val="center"/>
          </w:tcPr>
          <w:p w14:paraId="7DB2F023">
            <w:pPr>
              <w:tabs>
                <w:tab w:val="right" w:pos="1488"/>
              </w:tabs>
              <w:jc w:val="center"/>
              <w:rPr>
                <w:rFonts w:hint="eastAsia" w:ascii="仿宋" w:hAnsi="仿宋" w:eastAsia="仿宋" w:cs="仿宋"/>
                <w:b/>
                <w:bCs/>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2"/>
                <w:sz w:val="22"/>
                <w:szCs w:val="22"/>
                <w:vertAlign w:val="baseline"/>
                <w:lang w:val="en-US" w:eastAsia="zh-CN" w:bidi="ar-SA"/>
                <w14:textFill>
                  <w14:solidFill>
                    <w14:schemeClr w14:val="tx1"/>
                  </w14:solidFill>
                </w14:textFill>
              </w:rPr>
              <w:t>医疗机构级别</w:t>
            </w:r>
          </w:p>
        </w:tc>
        <w:tc>
          <w:tcPr>
            <w:tcW w:w="1860" w:type="dxa"/>
            <w:shd w:val="clear" w:color="auto" w:fill="auto"/>
            <w:vAlign w:val="center"/>
          </w:tcPr>
          <w:p w14:paraId="4ADB6BF3">
            <w:pPr>
              <w:jc w:val="center"/>
              <w:rPr>
                <w:rFonts w:hint="eastAsia" w:ascii="仿宋" w:hAnsi="仿宋" w:eastAsia="仿宋" w:cs="仿宋"/>
                <w:b/>
                <w:bCs/>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2"/>
                <w:sz w:val="22"/>
                <w:szCs w:val="22"/>
                <w:vertAlign w:val="baseline"/>
                <w:lang w:val="en-US" w:eastAsia="zh-CN" w:bidi="ar-SA"/>
                <w14:textFill>
                  <w14:solidFill>
                    <w14:schemeClr w14:val="tx1"/>
                  </w14:solidFill>
                </w14:textFill>
              </w:rPr>
              <w:t>起付线（元）</w:t>
            </w:r>
          </w:p>
        </w:tc>
        <w:tc>
          <w:tcPr>
            <w:tcW w:w="1320" w:type="dxa"/>
            <w:tcBorders>
              <w:right w:val="single" w:color="91ABDF" w:themeColor="accent1" w:themeTint="99" w:sz="12" w:space="0"/>
            </w:tcBorders>
            <w:shd w:val="clear" w:color="auto" w:fill="auto"/>
            <w:vAlign w:val="center"/>
          </w:tcPr>
          <w:p w14:paraId="22D62F8F">
            <w:pPr>
              <w:jc w:val="center"/>
              <w:rPr>
                <w:rFonts w:hint="eastAsia" w:ascii="仿宋" w:hAnsi="仿宋" w:eastAsia="仿宋" w:cs="仿宋"/>
                <w:b/>
                <w:bCs/>
                <w:color w:val="000000" w:themeColor="text1"/>
                <w:sz w:val="22"/>
                <w:szCs w:val="22"/>
                <w:vertAlign w:val="baseline"/>
                <w:lang w:val="en-US" w:eastAsia="zh-CN"/>
                <w14:textFill>
                  <w14:solidFill>
                    <w14:schemeClr w14:val="tx1"/>
                  </w14:solidFill>
                </w14:textFill>
              </w:rPr>
            </w:pPr>
            <w:r>
              <w:rPr>
                <w:rFonts w:hint="eastAsia" w:ascii="仿宋" w:hAnsi="仿宋" w:eastAsia="仿宋" w:cs="仿宋"/>
                <w:b/>
                <w:bCs/>
                <w:color w:val="000000" w:themeColor="text1"/>
                <w:sz w:val="22"/>
                <w:szCs w:val="22"/>
                <w:vertAlign w:val="baseline"/>
                <w:lang w:val="en-US" w:eastAsia="zh-CN"/>
                <w14:textFill>
                  <w14:solidFill>
                    <w14:schemeClr w14:val="tx1"/>
                  </w14:solidFill>
                </w14:textFill>
              </w:rPr>
              <w:t>支付比例</w:t>
            </w:r>
          </w:p>
        </w:tc>
        <w:tc>
          <w:tcPr>
            <w:tcW w:w="3512" w:type="dxa"/>
            <w:tcBorders>
              <w:left w:val="single" w:color="91ABDF" w:themeColor="accent1" w:themeTint="99" w:sz="12" w:space="0"/>
            </w:tcBorders>
            <w:shd w:val="clear" w:color="auto" w:fill="auto"/>
            <w:vAlign w:val="center"/>
          </w:tcPr>
          <w:p w14:paraId="7C0EDE58">
            <w:pPr>
              <w:numPr>
                <w:ilvl w:val="0"/>
                <w:numId w:val="0"/>
              </w:numPr>
              <w:jc w:val="both"/>
              <w:rPr>
                <w:rFonts w:hint="eastAsia" w:ascii="仿宋" w:hAnsi="仿宋" w:eastAsia="仿宋" w:cs="仿宋"/>
                <w:b/>
                <w:bCs/>
                <w:color w:val="000000" w:themeColor="text1"/>
                <w:sz w:val="22"/>
                <w:szCs w:val="22"/>
                <w:vertAlign w:val="baseline"/>
                <w:lang w:val="en-US" w:eastAsia="zh-CN"/>
                <w14:textFill>
                  <w14:solidFill>
                    <w14:schemeClr w14:val="tx1"/>
                  </w14:solidFill>
                </w14:textFill>
              </w:rPr>
            </w:pPr>
            <w:r>
              <w:rPr>
                <w:rFonts w:hint="eastAsia" w:ascii="仿宋" w:hAnsi="仿宋" w:eastAsia="仿宋" w:cs="仿宋"/>
                <w:b/>
                <w:bCs/>
                <w:color w:val="000000" w:themeColor="text1"/>
                <w:sz w:val="22"/>
                <w:szCs w:val="22"/>
                <w:vertAlign w:val="baseline"/>
                <w:lang w:val="en-US" w:eastAsia="zh-CN"/>
                <w14:textFill>
                  <w14:solidFill>
                    <w14:schemeClr w14:val="tx1"/>
                  </w14:solidFill>
                </w14:textFill>
              </w:rPr>
              <w:t>普通人群，起付线1.5万元，年度支付限额30万元。分段支付比例：</w:t>
            </w:r>
          </w:p>
        </w:tc>
      </w:tr>
      <w:tr w14:paraId="44AE449A">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615" w:hRule="atLeast"/>
          <w:jc w:val="center"/>
        </w:trPr>
        <w:tc>
          <w:tcPr>
            <w:tcW w:w="1248" w:type="dxa"/>
            <w:vMerge w:val="restart"/>
            <w:shd w:val="clear" w:color="auto" w:fill="auto"/>
            <w:vAlign w:val="center"/>
          </w:tcPr>
          <w:p w14:paraId="7FF6507F">
            <w:pPr>
              <w:tabs>
                <w:tab w:val="right" w:pos="1488"/>
              </w:tabs>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b/>
                <w:bCs/>
                <w:color w:val="000000" w:themeColor="text1"/>
                <w:kern w:val="0"/>
                <w:sz w:val="22"/>
                <w:szCs w:val="22"/>
                <w:lang w:val="en-US" w:eastAsia="zh-CN" w:bidi="ar"/>
                <w14:textFill>
                  <w14:solidFill>
                    <w14:schemeClr w14:val="tx1"/>
                  </w14:solidFill>
                </w14:textFill>
              </w:rPr>
              <w:t>本地就医人员和</w:t>
            </w:r>
            <w:r>
              <w:rPr>
                <w:rFonts w:hint="eastAsia" w:ascii="仿宋" w:hAnsi="仿宋" w:eastAsia="仿宋" w:cs="仿宋"/>
                <w:b/>
                <w:bCs/>
                <w:color w:val="000000" w:themeColor="text1"/>
                <w:kern w:val="0"/>
                <w:sz w:val="22"/>
                <w:szCs w:val="22"/>
                <w:lang w:bidi="ar"/>
                <w14:textFill>
                  <w14:solidFill>
                    <w14:schemeClr w14:val="tx1"/>
                  </w14:solidFill>
                </w14:textFill>
              </w:rPr>
              <w:t>异地长期居住人员</w:t>
            </w:r>
          </w:p>
        </w:tc>
        <w:tc>
          <w:tcPr>
            <w:tcW w:w="2700" w:type="dxa"/>
            <w:shd w:val="clear" w:color="auto" w:fill="auto"/>
            <w:vAlign w:val="center"/>
          </w:tcPr>
          <w:p w14:paraId="19616BFB">
            <w:pPr>
              <w:tabs>
                <w:tab w:val="right" w:pos="1488"/>
              </w:tabs>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一级及以下和乡镇卫生院（社区卫生服务中心）</w:t>
            </w:r>
          </w:p>
        </w:tc>
        <w:tc>
          <w:tcPr>
            <w:tcW w:w="1860" w:type="dxa"/>
            <w:shd w:val="clear" w:color="auto" w:fill="auto"/>
            <w:vAlign w:val="center"/>
          </w:tcPr>
          <w:p w14:paraId="4E6A06B6">
            <w:pPr>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200</w:t>
            </w:r>
          </w:p>
        </w:tc>
        <w:tc>
          <w:tcPr>
            <w:tcW w:w="1320" w:type="dxa"/>
            <w:tcBorders>
              <w:right w:val="single" w:color="91ABDF" w:themeColor="accent1" w:themeTint="99" w:sz="12" w:space="0"/>
            </w:tcBorders>
            <w:shd w:val="clear" w:color="auto" w:fill="auto"/>
            <w:vAlign w:val="center"/>
          </w:tcPr>
          <w:p w14:paraId="46E9FC7B">
            <w:pPr>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90%</w:t>
            </w:r>
          </w:p>
        </w:tc>
        <w:tc>
          <w:tcPr>
            <w:tcW w:w="3512" w:type="dxa"/>
            <w:vMerge w:val="restart"/>
            <w:tcBorders>
              <w:left w:val="single" w:color="91ABDF" w:themeColor="accent1" w:themeTint="99" w:sz="12" w:space="0"/>
            </w:tcBorders>
            <w:shd w:val="clear" w:color="auto" w:fill="auto"/>
            <w:vAlign w:val="center"/>
          </w:tcPr>
          <w:p w14:paraId="3CAF943F">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起付线以上5万元（含）60%</w:t>
            </w:r>
          </w:p>
          <w:p w14:paraId="2378F33B">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5万元-10万元（含）65%</w:t>
            </w:r>
          </w:p>
          <w:p w14:paraId="4D004C49">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10万元-20万元（含）75%</w:t>
            </w:r>
          </w:p>
          <w:p w14:paraId="501D4B4D">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20万元以上80%</w:t>
            </w:r>
          </w:p>
        </w:tc>
      </w:tr>
      <w:tr w14:paraId="0FD56823">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430" w:hRule="atLeast"/>
          <w:jc w:val="center"/>
        </w:trPr>
        <w:tc>
          <w:tcPr>
            <w:tcW w:w="1248" w:type="dxa"/>
            <w:vMerge w:val="continue"/>
            <w:shd w:val="clear" w:color="auto" w:fill="auto"/>
            <w:vAlign w:val="center"/>
          </w:tcPr>
          <w:p w14:paraId="1EE7AAD5">
            <w:pPr>
              <w:tabs>
                <w:tab w:val="right" w:pos="1488"/>
              </w:tabs>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p>
        </w:tc>
        <w:tc>
          <w:tcPr>
            <w:tcW w:w="2700" w:type="dxa"/>
            <w:shd w:val="clear" w:color="auto" w:fill="auto"/>
            <w:vAlign w:val="center"/>
          </w:tcPr>
          <w:p w14:paraId="09A604A3">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二级和县级</w:t>
            </w:r>
          </w:p>
        </w:tc>
        <w:tc>
          <w:tcPr>
            <w:tcW w:w="1860" w:type="dxa"/>
            <w:shd w:val="clear" w:color="auto" w:fill="auto"/>
            <w:vAlign w:val="center"/>
          </w:tcPr>
          <w:p w14:paraId="060EC499">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500</w:t>
            </w:r>
          </w:p>
        </w:tc>
        <w:tc>
          <w:tcPr>
            <w:tcW w:w="1320" w:type="dxa"/>
            <w:tcBorders>
              <w:right w:val="single" w:color="91ABDF" w:themeColor="accent1" w:themeTint="99" w:sz="12" w:space="0"/>
            </w:tcBorders>
            <w:shd w:val="clear" w:color="auto" w:fill="auto"/>
            <w:vAlign w:val="center"/>
          </w:tcPr>
          <w:p w14:paraId="35381D66">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80%</w:t>
            </w:r>
          </w:p>
        </w:tc>
        <w:tc>
          <w:tcPr>
            <w:tcW w:w="3512" w:type="dxa"/>
            <w:vMerge w:val="continue"/>
            <w:tcBorders>
              <w:left w:val="single" w:color="91ABDF" w:themeColor="accent1" w:themeTint="99" w:sz="12" w:space="0"/>
            </w:tcBorders>
            <w:shd w:val="clear" w:color="auto" w:fill="auto"/>
            <w:vAlign w:val="center"/>
          </w:tcPr>
          <w:p w14:paraId="3AD6C5F0">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64A76C8D">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425" w:hRule="atLeast"/>
          <w:jc w:val="center"/>
        </w:trPr>
        <w:tc>
          <w:tcPr>
            <w:tcW w:w="1248" w:type="dxa"/>
            <w:vMerge w:val="continue"/>
            <w:shd w:val="clear" w:color="auto" w:fill="auto"/>
            <w:vAlign w:val="center"/>
          </w:tcPr>
          <w:p w14:paraId="2B54C924">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0070E62E">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三级（市属）</w:t>
            </w:r>
          </w:p>
        </w:tc>
        <w:tc>
          <w:tcPr>
            <w:tcW w:w="1860" w:type="dxa"/>
            <w:shd w:val="clear" w:color="auto" w:fill="auto"/>
            <w:vAlign w:val="center"/>
          </w:tcPr>
          <w:p w14:paraId="6C86154D">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700</w:t>
            </w:r>
          </w:p>
        </w:tc>
        <w:tc>
          <w:tcPr>
            <w:tcW w:w="1320" w:type="dxa"/>
            <w:tcBorders>
              <w:right w:val="single" w:color="91ABDF" w:themeColor="accent1" w:themeTint="99" w:sz="12" w:space="0"/>
            </w:tcBorders>
            <w:shd w:val="clear" w:color="auto" w:fill="auto"/>
            <w:vAlign w:val="center"/>
          </w:tcPr>
          <w:p w14:paraId="1E366C1D">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75%</w:t>
            </w:r>
          </w:p>
        </w:tc>
        <w:tc>
          <w:tcPr>
            <w:tcW w:w="3512" w:type="dxa"/>
            <w:vMerge w:val="continue"/>
            <w:tcBorders>
              <w:left w:val="single" w:color="91ABDF" w:themeColor="accent1" w:themeTint="99" w:sz="12" w:space="0"/>
            </w:tcBorders>
            <w:shd w:val="clear" w:color="auto" w:fill="auto"/>
            <w:vAlign w:val="center"/>
          </w:tcPr>
          <w:p w14:paraId="538726B8">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78A88205">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360" w:hRule="atLeast"/>
          <w:jc w:val="center"/>
        </w:trPr>
        <w:tc>
          <w:tcPr>
            <w:tcW w:w="1248" w:type="dxa"/>
            <w:vMerge w:val="continue"/>
            <w:shd w:val="clear" w:color="auto" w:fill="auto"/>
            <w:vAlign w:val="center"/>
          </w:tcPr>
          <w:p w14:paraId="54AF4CD9">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588FCA02">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三级（省属）</w:t>
            </w:r>
          </w:p>
        </w:tc>
        <w:tc>
          <w:tcPr>
            <w:tcW w:w="1860" w:type="dxa"/>
            <w:shd w:val="clear" w:color="auto" w:fill="auto"/>
            <w:vAlign w:val="center"/>
          </w:tcPr>
          <w:p w14:paraId="6C65DF58">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1000</w:t>
            </w:r>
          </w:p>
        </w:tc>
        <w:tc>
          <w:tcPr>
            <w:tcW w:w="1320" w:type="dxa"/>
            <w:tcBorders>
              <w:right w:val="single" w:color="91ABDF" w:themeColor="accent1" w:themeTint="99" w:sz="12" w:space="0"/>
            </w:tcBorders>
            <w:shd w:val="clear" w:color="auto" w:fill="auto"/>
            <w:vAlign w:val="center"/>
          </w:tcPr>
          <w:p w14:paraId="7D103220">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70%</w:t>
            </w:r>
          </w:p>
        </w:tc>
        <w:tc>
          <w:tcPr>
            <w:tcW w:w="3512" w:type="dxa"/>
            <w:vMerge w:val="continue"/>
            <w:tcBorders>
              <w:left w:val="single" w:color="91ABDF" w:themeColor="accent1" w:themeTint="99" w:sz="12" w:space="0"/>
            </w:tcBorders>
            <w:shd w:val="clear" w:color="auto" w:fill="auto"/>
            <w:vAlign w:val="center"/>
          </w:tcPr>
          <w:p w14:paraId="3F1B3B82">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2E718DB6">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shd w:val="clear" w:color="auto" w:fill="auto"/>
          <w:tblCellMar>
            <w:top w:w="0" w:type="dxa"/>
            <w:left w:w="108" w:type="dxa"/>
            <w:bottom w:w="0" w:type="dxa"/>
            <w:right w:w="108" w:type="dxa"/>
          </w:tblCellMar>
        </w:tblPrEx>
        <w:trPr>
          <w:trHeight w:val="615" w:hRule="atLeast"/>
          <w:jc w:val="center"/>
        </w:trPr>
        <w:tc>
          <w:tcPr>
            <w:tcW w:w="1248" w:type="dxa"/>
            <w:vMerge w:val="restart"/>
            <w:shd w:val="clear" w:color="auto" w:fill="auto"/>
            <w:vAlign w:val="center"/>
          </w:tcPr>
          <w:p w14:paraId="63BBCE2F">
            <w:pPr>
              <w:widowControl/>
              <w:spacing w:before="100" w:beforeAutospacing="1" w:after="100" w:afterAutospacing="1"/>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ascii="仿宋_GB2312" w:hAnsi="宋体" w:eastAsia="仿宋_GB2312" w:cs="仿宋_GB2312"/>
                <w:b/>
                <w:bCs/>
                <w:color w:val="000000" w:themeColor="text1"/>
                <w:kern w:val="0"/>
                <w:sz w:val="22"/>
                <w:shd w:val="clear" w:color="auto" w:fill="auto"/>
                <w:lang w:bidi="ar"/>
                <w14:textFill>
                  <w14:solidFill>
                    <w14:schemeClr w14:val="tx1"/>
                  </w14:solidFill>
                </w14:textFill>
              </w:rPr>
              <w:t>异地转诊就医人员（省内）</w:t>
            </w:r>
          </w:p>
        </w:tc>
        <w:tc>
          <w:tcPr>
            <w:tcW w:w="2700" w:type="dxa"/>
            <w:shd w:val="clear" w:color="auto" w:fill="auto"/>
            <w:vAlign w:val="center"/>
          </w:tcPr>
          <w:p w14:paraId="7B2C4DDF">
            <w:pPr>
              <w:tabs>
                <w:tab w:val="right" w:pos="1488"/>
              </w:tabs>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一级及以下和乡镇卫生院（社区卫生服务中心）</w:t>
            </w:r>
          </w:p>
        </w:tc>
        <w:tc>
          <w:tcPr>
            <w:tcW w:w="1860" w:type="dxa"/>
            <w:shd w:val="clear" w:color="auto" w:fill="auto"/>
            <w:vAlign w:val="center"/>
          </w:tcPr>
          <w:p w14:paraId="2B01412B">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300</w:t>
            </w:r>
          </w:p>
        </w:tc>
        <w:tc>
          <w:tcPr>
            <w:tcW w:w="1320" w:type="dxa"/>
            <w:tcBorders>
              <w:right w:val="single" w:color="91ABDF" w:themeColor="accent1" w:themeTint="99" w:sz="12" w:space="0"/>
            </w:tcBorders>
            <w:shd w:val="clear" w:color="auto" w:fill="auto"/>
            <w:vAlign w:val="center"/>
          </w:tcPr>
          <w:p w14:paraId="02A23C68">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85%</w:t>
            </w:r>
          </w:p>
        </w:tc>
        <w:tc>
          <w:tcPr>
            <w:tcW w:w="3512" w:type="dxa"/>
            <w:vMerge w:val="restart"/>
            <w:tcBorders>
              <w:left w:val="single" w:color="91ABDF" w:themeColor="accent1" w:themeTint="99" w:sz="12" w:space="0"/>
            </w:tcBorders>
            <w:shd w:val="clear" w:color="auto" w:fill="auto"/>
            <w:vAlign w:val="center"/>
          </w:tcPr>
          <w:p w14:paraId="2CEE4662">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起付线以上5万元（含）55%</w:t>
            </w:r>
          </w:p>
          <w:p w14:paraId="349C1DAA">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5万元-10万元（含）60%</w:t>
            </w:r>
          </w:p>
          <w:p w14:paraId="7383ED84">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10万元-20万元（含）70%</w:t>
            </w:r>
          </w:p>
          <w:p w14:paraId="59DFED47">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20万元以上75%</w:t>
            </w:r>
          </w:p>
        </w:tc>
      </w:tr>
      <w:tr w14:paraId="30D398D3">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385" w:hRule="atLeast"/>
          <w:jc w:val="center"/>
        </w:trPr>
        <w:tc>
          <w:tcPr>
            <w:tcW w:w="1248" w:type="dxa"/>
            <w:vMerge w:val="continue"/>
            <w:shd w:val="clear" w:color="auto" w:fill="auto"/>
            <w:vAlign w:val="center"/>
          </w:tcPr>
          <w:p w14:paraId="612708A3">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31031C10">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二级和县级</w:t>
            </w:r>
          </w:p>
        </w:tc>
        <w:tc>
          <w:tcPr>
            <w:tcW w:w="1860" w:type="dxa"/>
            <w:shd w:val="clear" w:color="auto" w:fill="auto"/>
            <w:vAlign w:val="center"/>
          </w:tcPr>
          <w:p w14:paraId="24F7FDF8">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750</w:t>
            </w:r>
          </w:p>
        </w:tc>
        <w:tc>
          <w:tcPr>
            <w:tcW w:w="1320" w:type="dxa"/>
            <w:tcBorders>
              <w:right w:val="single" w:color="91ABDF" w:themeColor="accent1" w:themeTint="99" w:sz="12" w:space="0"/>
            </w:tcBorders>
            <w:shd w:val="clear" w:color="auto" w:fill="auto"/>
            <w:vAlign w:val="center"/>
          </w:tcPr>
          <w:p w14:paraId="5797583A">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75%</w:t>
            </w:r>
          </w:p>
        </w:tc>
        <w:tc>
          <w:tcPr>
            <w:tcW w:w="3512" w:type="dxa"/>
            <w:vMerge w:val="continue"/>
            <w:tcBorders>
              <w:left w:val="single" w:color="91ABDF" w:themeColor="accent1" w:themeTint="99" w:sz="12" w:space="0"/>
            </w:tcBorders>
            <w:shd w:val="clear" w:color="auto" w:fill="auto"/>
            <w:vAlign w:val="center"/>
          </w:tcPr>
          <w:p w14:paraId="163C71DA">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596D2561">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shd w:val="clear" w:color="auto" w:fill="auto"/>
          <w:tblCellMar>
            <w:top w:w="0" w:type="dxa"/>
            <w:left w:w="108" w:type="dxa"/>
            <w:bottom w:w="0" w:type="dxa"/>
            <w:right w:w="108" w:type="dxa"/>
          </w:tblCellMar>
        </w:tblPrEx>
        <w:trPr>
          <w:trHeight w:val="385" w:hRule="atLeast"/>
          <w:jc w:val="center"/>
        </w:trPr>
        <w:tc>
          <w:tcPr>
            <w:tcW w:w="1248" w:type="dxa"/>
            <w:vMerge w:val="continue"/>
            <w:shd w:val="clear" w:color="auto" w:fill="auto"/>
            <w:vAlign w:val="center"/>
          </w:tcPr>
          <w:p w14:paraId="5474D8A1">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116B8F02">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三级（市属）</w:t>
            </w:r>
          </w:p>
        </w:tc>
        <w:tc>
          <w:tcPr>
            <w:tcW w:w="1860" w:type="dxa"/>
            <w:shd w:val="clear" w:color="auto" w:fill="auto"/>
            <w:vAlign w:val="center"/>
          </w:tcPr>
          <w:p w14:paraId="508C3FAC">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1050</w:t>
            </w:r>
          </w:p>
        </w:tc>
        <w:tc>
          <w:tcPr>
            <w:tcW w:w="1320" w:type="dxa"/>
            <w:tcBorders>
              <w:right w:val="single" w:color="91ABDF" w:themeColor="accent1" w:themeTint="99" w:sz="12" w:space="0"/>
            </w:tcBorders>
            <w:shd w:val="clear" w:color="auto" w:fill="auto"/>
            <w:vAlign w:val="center"/>
          </w:tcPr>
          <w:p w14:paraId="5EC147CC">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70%</w:t>
            </w:r>
          </w:p>
        </w:tc>
        <w:tc>
          <w:tcPr>
            <w:tcW w:w="3512" w:type="dxa"/>
            <w:vMerge w:val="continue"/>
            <w:tcBorders>
              <w:left w:val="single" w:color="91ABDF" w:themeColor="accent1" w:themeTint="99" w:sz="12" w:space="0"/>
            </w:tcBorders>
            <w:shd w:val="clear" w:color="auto" w:fill="auto"/>
            <w:vAlign w:val="center"/>
          </w:tcPr>
          <w:p w14:paraId="4CC333A6">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55C6E186">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360" w:hRule="atLeast"/>
          <w:jc w:val="center"/>
        </w:trPr>
        <w:tc>
          <w:tcPr>
            <w:tcW w:w="1248" w:type="dxa"/>
            <w:vMerge w:val="continue"/>
            <w:shd w:val="clear" w:color="auto" w:fill="auto"/>
            <w:vAlign w:val="center"/>
          </w:tcPr>
          <w:p w14:paraId="27D256B0">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0713CDCD">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三级（省属）</w:t>
            </w:r>
          </w:p>
        </w:tc>
        <w:tc>
          <w:tcPr>
            <w:tcW w:w="1860" w:type="dxa"/>
            <w:shd w:val="clear" w:color="auto" w:fill="auto"/>
            <w:vAlign w:val="center"/>
          </w:tcPr>
          <w:p w14:paraId="18BC0A3D">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1500</w:t>
            </w:r>
          </w:p>
        </w:tc>
        <w:tc>
          <w:tcPr>
            <w:tcW w:w="1320" w:type="dxa"/>
            <w:tcBorders>
              <w:right w:val="single" w:color="91ABDF" w:themeColor="accent1" w:themeTint="99" w:sz="12" w:space="0"/>
            </w:tcBorders>
            <w:shd w:val="clear" w:color="auto" w:fill="auto"/>
            <w:vAlign w:val="center"/>
          </w:tcPr>
          <w:p w14:paraId="20C1C1C0">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65%</w:t>
            </w:r>
          </w:p>
        </w:tc>
        <w:tc>
          <w:tcPr>
            <w:tcW w:w="3512" w:type="dxa"/>
            <w:vMerge w:val="continue"/>
            <w:tcBorders>
              <w:left w:val="single" w:color="91ABDF" w:themeColor="accent1" w:themeTint="99" w:sz="12" w:space="0"/>
            </w:tcBorders>
            <w:shd w:val="clear" w:color="auto" w:fill="auto"/>
            <w:vAlign w:val="center"/>
          </w:tcPr>
          <w:p w14:paraId="7EA87757">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28409758">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shd w:val="clear" w:color="auto" w:fill="auto"/>
          <w:tblCellMar>
            <w:top w:w="0" w:type="dxa"/>
            <w:left w:w="108" w:type="dxa"/>
            <w:bottom w:w="0" w:type="dxa"/>
            <w:right w:w="108" w:type="dxa"/>
          </w:tblCellMar>
        </w:tblPrEx>
        <w:trPr>
          <w:trHeight w:val="615" w:hRule="atLeast"/>
          <w:jc w:val="center"/>
        </w:trPr>
        <w:tc>
          <w:tcPr>
            <w:tcW w:w="1248" w:type="dxa"/>
            <w:vMerge w:val="restart"/>
            <w:shd w:val="clear" w:color="auto" w:fill="auto"/>
            <w:vAlign w:val="center"/>
          </w:tcPr>
          <w:p w14:paraId="39D5FBF9">
            <w:pPr>
              <w:widowControl/>
              <w:spacing w:before="100" w:beforeAutospacing="1" w:after="100" w:afterAutospacing="1"/>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ascii="仿宋_GB2312" w:hAnsi="宋体" w:eastAsia="仿宋_GB2312" w:cs="仿宋_GB2312"/>
                <w:b/>
                <w:bCs/>
                <w:color w:val="000000" w:themeColor="text1"/>
                <w:kern w:val="0"/>
                <w:sz w:val="22"/>
                <w:shd w:val="clear" w:color="auto" w:fill="auto"/>
                <w:lang w:bidi="ar"/>
                <w14:textFill>
                  <w14:solidFill>
                    <w14:schemeClr w14:val="tx1"/>
                  </w14:solidFill>
                </w14:textFill>
              </w:rPr>
              <w:t>异地转诊就医人员（省外）</w:t>
            </w:r>
          </w:p>
        </w:tc>
        <w:tc>
          <w:tcPr>
            <w:tcW w:w="2700" w:type="dxa"/>
            <w:shd w:val="clear" w:color="auto" w:fill="auto"/>
            <w:vAlign w:val="center"/>
          </w:tcPr>
          <w:p w14:paraId="46032C51">
            <w:pPr>
              <w:tabs>
                <w:tab w:val="right" w:pos="1488"/>
              </w:tabs>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一级及以下和乡镇卫生院（社区卫生服务中心）</w:t>
            </w:r>
          </w:p>
        </w:tc>
        <w:tc>
          <w:tcPr>
            <w:tcW w:w="1860" w:type="dxa"/>
            <w:vMerge w:val="restart"/>
            <w:shd w:val="clear" w:color="auto" w:fill="auto"/>
            <w:vAlign w:val="center"/>
          </w:tcPr>
          <w:p w14:paraId="422B5614">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按当次住院总费用20%计算（不足2000元的按2000元计算，最高不超过1万元）</w:t>
            </w:r>
          </w:p>
        </w:tc>
        <w:tc>
          <w:tcPr>
            <w:tcW w:w="1320" w:type="dxa"/>
            <w:vMerge w:val="restart"/>
            <w:tcBorders>
              <w:right w:val="single" w:color="91ABDF" w:themeColor="accent1" w:themeTint="99" w:sz="12" w:space="0"/>
            </w:tcBorders>
            <w:shd w:val="clear" w:color="auto" w:fill="auto"/>
            <w:vAlign w:val="center"/>
          </w:tcPr>
          <w:p w14:paraId="37C73030">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t>60%</w:t>
            </w:r>
          </w:p>
        </w:tc>
        <w:tc>
          <w:tcPr>
            <w:tcW w:w="3512" w:type="dxa"/>
            <w:vMerge w:val="restart"/>
            <w:tcBorders>
              <w:left w:val="single" w:color="91ABDF" w:themeColor="accent1" w:themeTint="99" w:sz="12" w:space="0"/>
            </w:tcBorders>
            <w:shd w:val="clear" w:color="auto" w:fill="auto"/>
            <w:vAlign w:val="center"/>
          </w:tcPr>
          <w:p w14:paraId="0980AC60">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起付线以上5万元（含）50%</w:t>
            </w:r>
          </w:p>
          <w:p w14:paraId="06B1A406">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5万元-10万元（含）55%</w:t>
            </w:r>
          </w:p>
          <w:p w14:paraId="57F4FEA5">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10万元-20万元（含）65%</w:t>
            </w:r>
          </w:p>
          <w:p w14:paraId="16C7935A">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20万元以上70%</w:t>
            </w:r>
          </w:p>
        </w:tc>
      </w:tr>
      <w:tr w14:paraId="07E6C2FD">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500" w:hRule="atLeast"/>
          <w:jc w:val="center"/>
        </w:trPr>
        <w:tc>
          <w:tcPr>
            <w:tcW w:w="1248" w:type="dxa"/>
            <w:vMerge w:val="continue"/>
            <w:shd w:val="clear" w:color="auto" w:fill="auto"/>
            <w:vAlign w:val="center"/>
          </w:tcPr>
          <w:p w14:paraId="7C6F07B7">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76EEF61B">
            <w:pPr>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二级和县级</w:t>
            </w:r>
          </w:p>
        </w:tc>
        <w:tc>
          <w:tcPr>
            <w:tcW w:w="1860" w:type="dxa"/>
            <w:vMerge w:val="continue"/>
            <w:shd w:val="clear" w:color="auto" w:fill="auto"/>
            <w:vAlign w:val="center"/>
          </w:tcPr>
          <w:p w14:paraId="4DCD3152">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1320" w:type="dxa"/>
            <w:vMerge w:val="continue"/>
            <w:tcBorders>
              <w:right w:val="single" w:color="91ABDF" w:themeColor="accent1" w:themeTint="99" w:sz="12" w:space="0"/>
            </w:tcBorders>
            <w:shd w:val="clear" w:color="auto" w:fill="auto"/>
            <w:vAlign w:val="center"/>
          </w:tcPr>
          <w:p w14:paraId="504064B3">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3512" w:type="dxa"/>
            <w:vMerge w:val="continue"/>
            <w:tcBorders>
              <w:left w:val="single" w:color="91ABDF" w:themeColor="accent1" w:themeTint="99" w:sz="12" w:space="0"/>
            </w:tcBorders>
            <w:shd w:val="clear" w:color="auto" w:fill="auto"/>
            <w:vAlign w:val="center"/>
          </w:tcPr>
          <w:p w14:paraId="1CCA60B2">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67A5E973">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shd w:val="clear" w:color="auto" w:fill="auto"/>
          <w:tblCellMar>
            <w:top w:w="0" w:type="dxa"/>
            <w:left w:w="108" w:type="dxa"/>
            <w:bottom w:w="0" w:type="dxa"/>
            <w:right w:w="108" w:type="dxa"/>
          </w:tblCellMar>
        </w:tblPrEx>
        <w:trPr>
          <w:trHeight w:val="455" w:hRule="atLeast"/>
          <w:jc w:val="center"/>
        </w:trPr>
        <w:tc>
          <w:tcPr>
            <w:tcW w:w="1248" w:type="dxa"/>
            <w:vMerge w:val="continue"/>
            <w:shd w:val="clear" w:color="auto" w:fill="auto"/>
            <w:vAlign w:val="center"/>
          </w:tcPr>
          <w:p w14:paraId="720F96B5">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36242B85">
            <w:pPr>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三级（市属）</w:t>
            </w:r>
          </w:p>
        </w:tc>
        <w:tc>
          <w:tcPr>
            <w:tcW w:w="1860" w:type="dxa"/>
            <w:vMerge w:val="continue"/>
            <w:shd w:val="clear" w:color="auto" w:fill="auto"/>
            <w:vAlign w:val="center"/>
          </w:tcPr>
          <w:p w14:paraId="4B96D809">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1320" w:type="dxa"/>
            <w:vMerge w:val="continue"/>
            <w:tcBorders>
              <w:right w:val="single" w:color="91ABDF" w:themeColor="accent1" w:themeTint="99" w:sz="12" w:space="0"/>
            </w:tcBorders>
            <w:shd w:val="clear" w:color="auto" w:fill="auto"/>
            <w:vAlign w:val="center"/>
          </w:tcPr>
          <w:p w14:paraId="533019E5">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3512" w:type="dxa"/>
            <w:vMerge w:val="continue"/>
            <w:tcBorders>
              <w:left w:val="single" w:color="91ABDF" w:themeColor="accent1" w:themeTint="99" w:sz="12" w:space="0"/>
            </w:tcBorders>
            <w:shd w:val="clear" w:color="auto" w:fill="auto"/>
            <w:vAlign w:val="center"/>
          </w:tcPr>
          <w:p w14:paraId="49A4AD63">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3E42903A">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430" w:hRule="atLeast"/>
          <w:jc w:val="center"/>
        </w:trPr>
        <w:tc>
          <w:tcPr>
            <w:tcW w:w="1248" w:type="dxa"/>
            <w:vMerge w:val="continue"/>
            <w:shd w:val="clear" w:color="auto" w:fill="auto"/>
            <w:vAlign w:val="center"/>
          </w:tcPr>
          <w:p w14:paraId="786B826B">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71A5B063">
            <w:pPr>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三级（省属）</w:t>
            </w:r>
          </w:p>
        </w:tc>
        <w:tc>
          <w:tcPr>
            <w:tcW w:w="1860" w:type="dxa"/>
            <w:vMerge w:val="continue"/>
            <w:shd w:val="clear" w:color="auto" w:fill="auto"/>
            <w:vAlign w:val="center"/>
          </w:tcPr>
          <w:p w14:paraId="4EECB282">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1320" w:type="dxa"/>
            <w:vMerge w:val="continue"/>
            <w:tcBorders>
              <w:right w:val="single" w:color="91ABDF" w:themeColor="accent1" w:themeTint="99" w:sz="12" w:space="0"/>
            </w:tcBorders>
            <w:shd w:val="clear" w:color="auto" w:fill="auto"/>
            <w:vAlign w:val="center"/>
          </w:tcPr>
          <w:p w14:paraId="10984778">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3512" w:type="dxa"/>
            <w:vMerge w:val="continue"/>
            <w:tcBorders>
              <w:left w:val="single" w:color="91ABDF" w:themeColor="accent1" w:themeTint="99" w:sz="12" w:space="0"/>
            </w:tcBorders>
            <w:shd w:val="clear" w:color="auto" w:fill="auto"/>
            <w:vAlign w:val="center"/>
          </w:tcPr>
          <w:p w14:paraId="13924229">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5379FCD5">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615" w:hRule="atLeast"/>
          <w:jc w:val="center"/>
        </w:trPr>
        <w:tc>
          <w:tcPr>
            <w:tcW w:w="1248" w:type="dxa"/>
            <w:vMerge w:val="restart"/>
            <w:shd w:val="clear" w:color="auto" w:fill="auto"/>
            <w:vAlign w:val="center"/>
          </w:tcPr>
          <w:p w14:paraId="3AA1D06D">
            <w:pPr>
              <w:widowControl/>
              <w:spacing w:before="100" w:beforeAutospacing="1" w:after="100" w:afterAutospacing="1"/>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ascii="仿宋_GB2312" w:hAnsi="宋体" w:eastAsia="仿宋_GB2312" w:cs="仿宋_GB2312"/>
                <w:b/>
                <w:bCs/>
                <w:color w:val="000000" w:themeColor="text1"/>
                <w:kern w:val="0"/>
                <w:sz w:val="22"/>
                <w:shd w:val="clear" w:color="auto" w:fill="auto"/>
                <w:lang w:bidi="ar"/>
                <w14:textFill>
                  <w14:solidFill>
                    <w14:schemeClr w14:val="tx1"/>
                  </w14:solidFill>
                </w14:textFill>
              </w:rPr>
              <w:t>其他临时外出就医（省内）</w:t>
            </w:r>
          </w:p>
        </w:tc>
        <w:tc>
          <w:tcPr>
            <w:tcW w:w="2700" w:type="dxa"/>
            <w:shd w:val="clear" w:color="auto" w:fill="auto"/>
            <w:vAlign w:val="center"/>
          </w:tcPr>
          <w:p w14:paraId="419AAB7C">
            <w:pPr>
              <w:tabs>
                <w:tab w:val="right" w:pos="1488"/>
              </w:tabs>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一级及以下和乡镇卫生院（社区卫生服务中心）</w:t>
            </w:r>
          </w:p>
        </w:tc>
        <w:tc>
          <w:tcPr>
            <w:tcW w:w="1860" w:type="dxa"/>
            <w:shd w:val="clear" w:color="auto" w:fill="auto"/>
            <w:vAlign w:val="center"/>
          </w:tcPr>
          <w:p w14:paraId="3806B5F5">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300</w:t>
            </w:r>
          </w:p>
        </w:tc>
        <w:tc>
          <w:tcPr>
            <w:tcW w:w="1320" w:type="dxa"/>
            <w:tcBorders>
              <w:right w:val="single" w:color="91ABDF" w:themeColor="accent1" w:themeTint="99" w:sz="12" w:space="0"/>
            </w:tcBorders>
            <w:shd w:val="clear" w:color="auto" w:fill="auto"/>
            <w:vAlign w:val="center"/>
          </w:tcPr>
          <w:p w14:paraId="59647EBC">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75%</w:t>
            </w:r>
          </w:p>
        </w:tc>
        <w:tc>
          <w:tcPr>
            <w:tcW w:w="3512" w:type="dxa"/>
            <w:vMerge w:val="restart"/>
            <w:tcBorders>
              <w:left w:val="single" w:color="91ABDF" w:themeColor="accent1" w:themeTint="99" w:sz="12" w:space="0"/>
            </w:tcBorders>
            <w:shd w:val="clear" w:color="auto" w:fill="auto"/>
            <w:vAlign w:val="center"/>
          </w:tcPr>
          <w:p w14:paraId="1BD78FC2">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起付线以上5万元（含）45%</w:t>
            </w:r>
          </w:p>
          <w:p w14:paraId="69315317">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5万元-10万元（含）50%</w:t>
            </w:r>
          </w:p>
          <w:p w14:paraId="3E36969A">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10万元-20万元（含）60%</w:t>
            </w:r>
          </w:p>
          <w:p w14:paraId="6AE2519B">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20万元以上65%</w:t>
            </w:r>
          </w:p>
        </w:tc>
      </w:tr>
      <w:tr w14:paraId="6DDE0C0C">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425" w:hRule="atLeast"/>
          <w:jc w:val="center"/>
        </w:trPr>
        <w:tc>
          <w:tcPr>
            <w:tcW w:w="1248" w:type="dxa"/>
            <w:vMerge w:val="continue"/>
            <w:shd w:val="clear" w:color="auto" w:fill="auto"/>
            <w:vAlign w:val="center"/>
          </w:tcPr>
          <w:p w14:paraId="3C0EF094">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1DDAF041">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二级和县级</w:t>
            </w:r>
          </w:p>
        </w:tc>
        <w:tc>
          <w:tcPr>
            <w:tcW w:w="1860" w:type="dxa"/>
            <w:shd w:val="clear" w:color="auto" w:fill="auto"/>
            <w:vAlign w:val="center"/>
          </w:tcPr>
          <w:p w14:paraId="3C406CDC">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750</w:t>
            </w:r>
          </w:p>
        </w:tc>
        <w:tc>
          <w:tcPr>
            <w:tcW w:w="1320" w:type="dxa"/>
            <w:tcBorders>
              <w:right w:val="single" w:color="91ABDF" w:themeColor="accent1" w:themeTint="99" w:sz="12" w:space="0"/>
            </w:tcBorders>
            <w:shd w:val="clear" w:color="auto" w:fill="auto"/>
            <w:vAlign w:val="center"/>
          </w:tcPr>
          <w:p w14:paraId="30993518">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65%</w:t>
            </w:r>
          </w:p>
        </w:tc>
        <w:tc>
          <w:tcPr>
            <w:tcW w:w="3512" w:type="dxa"/>
            <w:vMerge w:val="continue"/>
            <w:tcBorders>
              <w:left w:val="single" w:color="91ABDF" w:themeColor="accent1" w:themeTint="99" w:sz="12" w:space="0"/>
            </w:tcBorders>
            <w:shd w:val="clear" w:color="auto" w:fill="auto"/>
            <w:vAlign w:val="center"/>
          </w:tcPr>
          <w:p w14:paraId="28D9528D">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0BFDCA81">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460" w:hRule="atLeast"/>
          <w:jc w:val="center"/>
        </w:trPr>
        <w:tc>
          <w:tcPr>
            <w:tcW w:w="1248" w:type="dxa"/>
            <w:vMerge w:val="continue"/>
            <w:shd w:val="clear" w:color="auto" w:fill="auto"/>
            <w:vAlign w:val="center"/>
          </w:tcPr>
          <w:p w14:paraId="3780B3CF">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6C18EEBA">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三级（市属）</w:t>
            </w:r>
          </w:p>
        </w:tc>
        <w:tc>
          <w:tcPr>
            <w:tcW w:w="1860" w:type="dxa"/>
            <w:shd w:val="clear" w:color="auto" w:fill="auto"/>
            <w:vAlign w:val="center"/>
          </w:tcPr>
          <w:p w14:paraId="01564290">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1050</w:t>
            </w:r>
          </w:p>
        </w:tc>
        <w:tc>
          <w:tcPr>
            <w:tcW w:w="1320" w:type="dxa"/>
            <w:tcBorders>
              <w:right w:val="single" w:color="91ABDF" w:themeColor="accent1" w:themeTint="99" w:sz="12" w:space="0"/>
            </w:tcBorders>
            <w:shd w:val="clear" w:color="auto" w:fill="auto"/>
            <w:vAlign w:val="center"/>
          </w:tcPr>
          <w:p w14:paraId="14E2D4E5">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60%</w:t>
            </w:r>
          </w:p>
        </w:tc>
        <w:tc>
          <w:tcPr>
            <w:tcW w:w="3512" w:type="dxa"/>
            <w:vMerge w:val="continue"/>
            <w:tcBorders>
              <w:left w:val="single" w:color="91ABDF" w:themeColor="accent1" w:themeTint="99" w:sz="12" w:space="0"/>
            </w:tcBorders>
            <w:shd w:val="clear" w:color="auto" w:fill="auto"/>
            <w:vAlign w:val="center"/>
          </w:tcPr>
          <w:p w14:paraId="1857C913">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50E38964">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455" w:hRule="atLeast"/>
          <w:jc w:val="center"/>
        </w:trPr>
        <w:tc>
          <w:tcPr>
            <w:tcW w:w="1248" w:type="dxa"/>
            <w:vMerge w:val="continue"/>
            <w:shd w:val="clear" w:color="auto" w:fill="auto"/>
            <w:vAlign w:val="center"/>
          </w:tcPr>
          <w:p w14:paraId="1185AB11">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1E7A0545">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三级（省属）</w:t>
            </w:r>
          </w:p>
        </w:tc>
        <w:tc>
          <w:tcPr>
            <w:tcW w:w="1860" w:type="dxa"/>
            <w:shd w:val="clear" w:color="auto" w:fill="auto"/>
            <w:vAlign w:val="center"/>
          </w:tcPr>
          <w:p w14:paraId="044AF2F4">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1500</w:t>
            </w:r>
          </w:p>
        </w:tc>
        <w:tc>
          <w:tcPr>
            <w:tcW w:w="1320" w:type="dxa"/>
            <w:tcBorders>
              <w:right w:val="single" w:color="91ABDF" w:themeColor="accent1" w:themeTint="99" w:sz="12" w:space="0"/>
            </w:tcBorders>
            <w:shd w:val="clear" w:color="auto" w:fill="auto"/>
            <w:vAlign w:val="center"/>
          </w:tcPr>
          <w:p w14:paraId="709D1B81">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55%</w:t>
            </w:r>
          </w:p>
        </w:tc>
        <w:tc>
          <w:tcPr>
            <w:tcW w:w="3512" w:type="dxa"/>
            <w:vMerge w:val="continue"/>
            <w:tcBorders>
              <w:left w:val="single" w:color="91ABDF" w:themeColor="accent1" w:themeTint="99" w:sz="12" w:space="0"/>
            </w:tcBorders>
            <w:shd w:val="clear" w:color="auto" w:fill="auto"/>
            <w:vAlign w:val="center"/>
          </w:tcPr>
          <w:p w14:paraId="4DC22039">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3B48E5A9">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615" w:hRule="atLeast"/>
          <w:jc w:val="center"/>
        </w:trPr>
        <w:tc>
          <w:tcPr>
            <w:tcW w:w="1248" w:type="dxa"/>
            <w:vMerge w:val="restart"/>
            <w:shd w:val="clear" w:color="auto" w:fill="auto"/>
            <w:vAlign w:val="center"/>
          </w:tcPr>
          <w:p w14:paraId="6BEBA4F6">
            <w:pPr>
              <w:widowControl/>
              <w:spacing w:before="100" w:beforeAutospacing="1" w:after="100" w:afterAutospacing="1"/>
              <w:jc w:val="center"/>
              <w:rPr>
                <w:rFonts w:hint="eastAsia" w:ascii="仿宋" w:hAnsi="仿宋" w:eastAsia="仿宋" w:cs="仿宋"/>
                <w:color w:val="000000" w:themeColor="text1"/>
                <w:kern w:val="2"/>
                <w:sz w:val="22"/>
                <w:szCs w:val="22"/>
                <w:vertAlign w:val="baseline"/>
                <w:lang w:val="en-US" w:eastAsia="zh-CN" w:bidi="ar-SA"/>
                <w14:textFill>
                  <w14:solidFill>
                    <w14:schemeClr w14:val="tx1"/>
                  </w14:solidFill>
                </w14:textFill>
              </w:rPr>
            </w:pPr>
            <w:r>
              <w:rPr>
                <w:rFonts w:ascii="仿宋_GB2312" w:hAnsi="宋体" w:eastAsia="仿宋_GB2312" w:cs="仿宋_GB2312"/>
                <w:b/>
                <w:bCs/>
                <w:color w:val="000000" w:themeColor="text1"/>
                <w:kern w:val="0"/>
                <w:sz w:val="22"/>
                <w:shd w:val="clear" w:color="auto" w:fill="auto"/>
                <w:lang w:bidi="ar"/>
                <w14:textFill>
                  <w14:solidFill>
                    <w14:schemeClr w14:val="tx1"/>
                  </w14:solidFill>
                </w14:textFill>
              </w:rPr>
              <w:t>其他临时外出就医（省外）</w:t>
            </w:r>
          </w:p>
        </w:tc>
        <w:tc>
          <w:tcPr>
            <w:tcW w:w="2700" w:type="dxa"/>
            <w:shd w:val="clear" w:color="auto" w:fill="auto"/>
            <w:vAlign w:val="center"/>
          </w:tcPr>
          <w:p w14:paraId="2EF96801">
            <w:pPr>
              <w:tabs>
                <w:tab w:val="right" w:pos="1488"/>
              </w:tabs>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一级及以下和乡镇卫生院（社区卫生服务中心）</w:t>
            </w:r>
          </w:p>
        </w:tc>
        <w:tc>
          <w:tcPr>
            <w:tcW w:w="1860" w:type="dxa"/>
            <w:vMerge w:val="restart"/>
            <w:shd w:val="clear" w:color="auto" w:fill="auto"/>
            <w:vAlign w:val="center"/>
          </w:tcPr>
          <w:p w14:paraId="4CE30C8E">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按当次住院总费用20%计算（不足2000元的按2000元计算，最高不超过1万元）</w:t>
            </w:r>
          </w:p>
        </w:tc>
        <w:tc>
          <w:tcPr>
            <w:tcW w:w="1320" w:type="dxa"/>
            <w:vMerge w:val="restart"/>
            <w:tcBorders>
              <w:right w:val="single" w:color="91ABDF" w:themeColor="accent1" w:themeTint="99" w:sz="12" w:space="0"/>
            </w:tcBorders>
            <w:shd w:val="clear" w:color="auto" w:fill="auto"/>
            <w:vAlign w:val="center"/>
          </w:tcPr>
          <w:p w14:paraId="19651324">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50%</w:t>
            </w:r>
          </w:p>
        </w:tc>
        <w:tc>
          <w:tcPr>
            <w:tcW w:w="3512" w:type="dxa"/>
            <w:vMerge w:val="restart"/>
            <w:tcBorders>
              <w:left w:val="single" w:color="91ABDF" w:themeColor="accent1" w:themeTint="99" w:sz="12" w:space="0"/>
            </w:tcBorders>
            <w:shd w:val="clear" w:color="auto" w:fill="auto"/>
            <w:vAlign w:val="center"/>
          </w:tcPr>
          <w:p w14:paraId="74FB4CE9">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起付线以上5万元（含）40%</w:t>
            </w:r>
          </w:p>
          <w:p w14:paraId="41E77BAF">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5万元-10万元（含）45%</w:t>
            </w:r>
          </w:p>
          <w:p w14:paraId="4104DC6E">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10万元-20万元（含）55%</w:t>
            </w:r>
          </w:p>
          <w:p w14:paraId="3F582A4B">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20万元以上60%</w:t>
            </w:r>
          </w:p>
        </w:tc>
      </w:tr>
      <w:tr w14:paraId="0F94C554">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440" w:hRule="atLeast"/>
          <w:jc w:val="center"/>
        </w:trPr>
        <w:tc>
          <w:tcPr>
            <w:tcW w:w="1248" w:type="dxa"/>
            <w:vMerge w:val="continue"/>
            <w:shd w:val="clear" w:color="auto" w:fill="auto"/>
            <w:vAlign w:val="center"/>
          </w:tcPr>
          <w:p w14:paraId="0E65DFB1">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0A39ED09">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二级和县级</w:t>
            </w:r>
          </w:p>
        </w:tc>
        <w:tc>
          <w:tcPr>
            <w:tcW w:w="1860" w:type="dxa"/>
            <w:vMerge w:val="continue"/>
            <w:shd w:val="clear" w:color="auto" w:fill="auto"/>
            <w:vAlign w:val="center"/>
          </w:tcPr>
          <w:p w14:paraId="091FFAAE">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1320" w:type="dxa"/>
            <w:vMerge w:val="continue"/>
            <w:tcBorders>
              <w:right w:val="single" w:color="91ABDF" w:themeColor="accent1" w:themeTint="99" w:sz="12" w:space="0"/>
            </w:tcBorders>
            <w:shd w:val="clear" w:color="auto" w:fill="auto"/>
            <w:vAlign w:val="center"/>
          </w:tcPr>
          <w:p w14:paraId="649103C3">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3512" w:type="dxa"/>
            <w:vMerge w:val="continue"/>
            <w:tcBorders>
              <w:left w:val="single" w:color="91ABDF" w:themeColor="accent1" w:themeTint="99" w:sz="12" w:space="0"/>
            </w:tcBorders>
            <w:shd w:val="clear" w:color="auto" w:fill="auto"/>
            <w:vAlign w:val="center"/>
          </w:tcPr>
          <w:p w14:paraId="32C5D6A0">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658A9D01">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shd w:val="clear" w:color="auto" w:fill="auto"/>
          <w:tblCellMar>
            <w:top w:w="0" w:type="dxa"/>
            <w:left w:w="108" w:type="dxa"/>
            <w:bottom w:w="0" w:type="dxa"/>
            <w:right w:w="108" w:type="dxa"/>
          </w:tblCellMar>
        </w:tblPrEx>
        <w:trPr>
          <w:trHeight w:val="535" w:hRule="atLeast"/>
          <w:jc w:val="center"/>
        </w:trPr>
        <w:tc>
          <w:tcPr>
            <w:tcW w:w="1248" w:type="dxa"/>
            <w:vMerge w:val="continue"/>
            <w:shd w:val="clear" w:color="auto" w:fill="auto"/>
            <w:vAlign w:val="center"/>
          </w:tcPr>
          <w:p w14:paraId="71346011">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424C3985">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三级（市属）</w:t>
            </w:r>
          </w:p>
        </w:tc>
        <w:tc>
          <w:tcPr>
            <w:tcW w:w="1860" w:type="dxa"/>
            <w:vMerge w:val="continue"/>
            <w:shd w:val="clear" w:color="auto" w:fill="auto"/>
            <w:vAlign w:val="center"/>
          </w:tcPr>
          <w:p w14:paraId="7099DD30">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1320" w:type="dxa"/>
            <w:vMerge w:val="continue"/>
            <w:tcBorders>
              <w:right w:val="single" w:color="91ABDF" w:themeColor="accent1" w:themeTint="99" w:sz="12" w:space="0"/>
            </w:tcBorders>
            <w:shd w:val="clear" w:color="auto" w:fill="auto"/>
            <w:vAlign w:val="center"/>
          </w:tcPr>
          <w:p w14:paraId="224B1E8A">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3512" w:type="dxa"/>
            <w:vMerge w:val="continue"/>
            <w:tcBorders>
              <w:left w:val="single" w:color="91ABDF" w:themeColor="accent1" w:themeTint="99" w:sz="12" w:space="0"/>
            </w:tcBorders>
            <w:shd w:val="clear" w:color="auto" w:fill="auto"/>
            <w:vAlign w:val="center"/>
          </w:tcPr>
          <w:p w14:paraId="31BE8002">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707B64A0">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tblCellMar>
            <w:top w:w="0" w:type="dxa"/>
            <w:left w:w="108" w:type="dxa"/>
            <w:bottom w:w="0" w:type="dxa"/>
            <w:right w:w="108" w:type="dxa"/>
          </w:tblCellMar>
        </w:tblPrEx>
        <w:trPr>
          <w:trHeight w:val="435" w:hRule="atLeast"/>
          <w:jc w:val="center"/>
        </w:trPr>
        <w:tc>
          <w:tcPr>
            <w:tcW w:w="1248" w:type="dxa"/>
            <w:vMerge w:val="continue"/>
            <w:shd w:val="clear" w:color="auto" w:fill="auto"/>
            <w:vAlign w:val="center"/>
          </w:tcPr>
          <w:p w14:paraId="4EBC4782">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2700" w:type="dxa"/>
            <w:shd w:val="clear" w:color="auto" w:fill="auto"/>
            <w:vAlign w:val="center"/>
          </w:tcPr>
          <w:p w14:paraId="10CE0A13">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r>
              <w:rPr>
                <w:rFonts w:hint="eastAsia" w:ascii="仿宋" w:hAnsi="仿宋" w:eastAsia="仿宋" w:cs="仿宋"/>
                <w:color w:val="000000" w:themeColor="text1"/>
                <w:sz w:val="22"/>
                <w:szCs w:val="22"/>
                <w:vertAlign w:val="baseline"/>
                <w:lang w:val="en-US" w:eastAsia="zh-CN"/>
                <w14:textFill>
                  <w14:solidFill>
                    <w14:schemeClr w14:val="tx1"/>
                  </w14:solidFill>
                </w14:textFill>
              </w:rPr>
              <w:t>三级（省属）</w:t>
            </w:r>
          </w:p>
        </w:tc>
        <w:tc>
          <w:tcPr>
            <w:tcW w:w="1860" w:type="dxa"/>
            <w:vMerge w:val="continue"/>
            <w:shd w:val="clear" w:color="auto" w:fill="auto"/>
            <w:vAlign w:val="center"/>
          </w:tcPr>
          <w:p w14:paraId="1FFD12DE">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1320" w:type="dxa"/>
            <w:vMerge w:val="continue"/>
            <w:tcBorders>
              <w:right w:val="single" w:color="91ABDF" w:themeColor="accent1" w:themeTint="99" w:sz="12" w:space="0"/>
            </w:tcBorders>
            <w:shd w:val="clear" w:color="auto" w:fill="auto"/>
            <w:vAlign w:val="center"/>
          </w:tcPr>
          <w:p w14:paraId="05CFECD7">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c>
          <w:tcPr>
            <w:tcW w:w="3512" w:type="dxa"/>
            <w:vMerge w:val="continue"/>
            <w:tcBorders>
              <w:left w:val="single" w:color="91ABDF" w:themeColor="accent1" w:themeTint="99" w:sz="12" w:space="0"/>
            </w:tcBorders>
            <w:shd w:val="clear" w:color="auto" w:fill="auto"/>
            <w:vAlign w:val="center"/>
          </w:tcPr>
          <w:p w14:paraId="193B8458">
            <w:pPr>
              <w:jc w:val="center"/>
              <w:rPr>
                <w:rFonts w:hint="eastAsia" w:ascii="仿宋" w:hAnsi="仿宋" w:eastAsia="仿宋" w:cs="仿宋"/>
                <w:color w:val="000000" w:themeColor="text1"/>
                <w:sz w:val="22"/>
                <w:szCs w:val="22"/>
                <w:vertAlign w:val="baseline"/>
                <w:lang w:val="en-US" w:eastAsia="zh-CN"/>
                <w14:textFill>
                  <w14:solidFill>
                    <w14:schemeClr w14:val="tx1"/>
                  </w14:solidFill>
                </w14:textFill>
              </w:rPr>
            </w:pPr>
          </w:p>
        </w:tc>
      </w:tr>
      <w:tr w14:paraId="77D07FC3">
        <w:tblPrEx>
          <w:tblBorders>
            <w:top w:val="single" w:color="91ABDF" w:themeColor="accent1" w:themeTint="99" w:sz="4" w:space="0"/>
            <w:left w:val="single" w:color="91ABDF" w:themeColor="accent1" w:themeTint="99" w:sz="4" w:space="0"/>
            <w:bottom w:val="single" w:color="91ABDF" w:themeColor="accent1" w:themeTint="99" w:sz="4" w:space="0"/>
            <w:right w:val="single" w:color="91ABDF" w:themeColor="accent1" w:themeTint="99" w:sz="4" w:space="0"/>
            <w:insideH w:val="single" w:color="91ABDF" w:themeColor="accent1" w:themeTint="99" w:sz="4" w:space="0"/>
            <w:insideV w:val="single" w:color="91ABDF" w:themeColor="accent1" w:themeTint="99" w:sz="4" w:space="0"/>
          </w:tblBorders>
          <w:shd w:val="clear" w:color="auto" w:fill="auto"/>
          <w:tblCellMar>
            <w:top w:w="0" w:type="dxa"/>
            <w:left w:w="108" w:type="dxa"/>
            <w:bottom w:w="0" w:type="dxa"/>
            <w:right w:w="108" w:type="dxa"/>
          </w:tblCellMar>
        </w:tblPrEx>
        <w:trPr>
          <w:trHeight w:val="2515" w:hRule="atLeast"/>
          <w:jc w:val="center"/>
        </w:trPr>
        <w:tc>
          <w:tcPr>
            <w:tcW w:w="10640" w:type="dxa"/>
            <w:gridSpan w:val="5"/>
            <w:shd w:val="clear" w:color="auto" w:fill="auto"/>
            <w:vAlign w:val="center"/>
          </w:tcPr>
          <w:p w14:paraId="626B628C">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仿宋" w:hAnsi="仿宋" w:eastAsia="仿宋" w:cs="仿宋"/>
                <w:color w:val="000000" w:themeColor="text1"/>
                <w:kern w:val="0"/>
                <w:sz w:val="22"/>
                <w:szCs w:val="22"/>
                <w14:textFill>
                  <w14:solidFill>
                    <w14:schemeClr w14:val="tx1"/>
                  </w14:solidFill>
                </w14:textFill>
              </w:rPr>
            </w:pPr>
            <w:r>
              <w:rPr>
                <w:rFonts w:hint="eastAsia" w:ascii="仿宋" w:hAnsi="仿宋" w:eastAsia="仿宋" w:cs="仿宋"/>
                <w:color w:val="000000" w:themeColor="text1"/>
                <w:kern w:val="0"/>
                <w:sz w:val="22"/>
                <w:szCs w:val="22"/>
                <w14:textFill>
                  <w14:solidFill>
                    <w14:schemeClr w14:val="tx1"/>
                  </w14:solidFill>
                </w14:textFill>
              </w:rPr>
              <w:t>备注：1.按照皖医保秘[2022}103号文件规定：异地长期居住人员包括：异地安置退休人员、异地长期居住人员、常驻异地工作人员；临时外出就医人员包括异地转诊就医人员和其他临时外出就医人员。</w:t>
            </w:r>
          </w:p>
          <w:p w14:paraId="3FB4AB2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color w:val="000000" w:themeColor="text1"/>
                <w:sz w:val="22"/>
                <w:szCs w:val="22"/>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2.</w:t>
            </w:r>
            <w:r>
              <w:rPr>
                <w:rFonts w:hint="eastAsia" w:ascii="仿宋" w:hAnsi="仿宋" w:eastAsia="仿宋" w:cs="仿宋"/>
                <w:color w:val="000000" w:themeColor="text1"/>
                <w:sz w:val="22"/>
                <w:szCs w:val="22"/>
                <w14:textFill>
                  <w14:solidFill>
                    <w14:schemeClr w14:val="tx1"/>
                  </w14:solidFill>
                </w14:textFill>
              </w:rPr>
              <w:t>基本医保年度报销限额</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30万元，包含各种医保结算类别。</w:t>
            </w:r>
          </w:p>
          <w:p w14:paraId="51702F6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宋体" w:eastAsia="仿宋_GB2312" w:cs="宋体"/>
                <w:color w:val="000000" w:themeColor="text1"/>
                <w:kern w:val="0"/>
                <w:sz w:val="22"/>
                <w:lang w:val="en-US" w:eastAsia="zh-CN"/>
                <w14:textFill>
                  <w14:solidFill>
                    <w14:schemeClr w14:val="tx1"/>
                  </w14:solidFill>
                </w14:textFill>
              </w:rPr>
            </w:pPr>
            <w:r>
              <w:rPr>
                <w:rFonts w:hint="eastAsia" w:ascii="仿宋" w:hAnsi="仿宋" w:eastAsia="仿宋" w:cs="仿宋"/>
                <w:color w:val="000000" w:themeColor="text1"/>
                <w:sz w:val="22"/>
                <w:szCs w:val="22"/>
                <w:lang w:val="en-US" w:eastAsia="zh-CN"/>
                <w14:textFill>
                  <w14:solidFill>
                    <w14:schemeClr w14:val="tx1"/>
                  </w14:solidFill>
                </w14:textFill>
              </w:rPr>
              <w:t>3</w:t>
            </w:r>
            <w:r>
              <w:rPr>
                <w:rFonts w:hint="eastAsia" w:ascii="仿宋" w:hAnsi="仿宋" w:eastAsia="仿宋" w:cs="仿宋"/>
                <w:color w:val="000000" w:themeColor="text1"/>
                <w:sz w:val="22"/>
                <w:szCs w:val="22"/>
                <w14:textFill>
                  <w14:solidFill>
                    <w14:schemeClr w14:val="tx1"/>
                  </w14:solidFill>
                </w14:textFill>
              </w:rPr>
              <w:t>.一个保险年度内，参保人员个人自付的住院和门诊慢特病政策范围内医药费用累计超过大病保险起付线的部分，大病保险基金分费用段按比例报销。普通人群大病保险起付线</w:t>
            </w:r>
            <w:r>
              <w:rPr>
                <w:rFonts w:hint="eastAsia" w:ascii="仿宋" w:hAnsi="仿宋" w:eastAsia="仿宋" w:cs="仿宋"/>
                <w:color w:val="000000" w:themeColor="text1"/>
                <w:sz w:val="22"/>
                <w:szCs w:val="22"/>
                <w:lang w:val="en-US" w:eastAsia="zh-CN"/>
                <w14:textFill>
                  <w14:solidFill>
                    <w14:schemeClr w14:val="tx1"/>
                  </w14:solidFill>
                </w14:textFill>
              </w:rPr>
              <w:t>1.5</w:t>
            </w:r>
            <w:r>
              <w:rPr>
                <w:rFonts w:hint="eastAsia" w:ascii="仿宋" w:hAnsi="仿宋" w:eastAsia="仿宋" w:cs="仿宋"/>
                <w:color w:val="000000" w:themeColor="text1"/>
                <w:sz w:val="22"/>
                <w:szCs w:val="22"/>
                <w14:textFill>
                  <w14:solidFill>
                    <w14:schemeClr w14:val="tx1"/>
                  </w14:solidFill>
                </w14:textFill>
              </w:rPr>
              <w:t>万元</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年度报销限额30万元；特殊人群（特困人员、低保对象和返贫致贫人口3类人群）</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大病保险起付线0.75万元</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上述各段报销比例</w:t>
            </w:r>
            <w:r>
              <w:rPr>
                <w:rFonts w:hint="eastAsia" w:ascii="仿宋" w:hAnsi="仿宋" w:eastAsia="仿宋" w:cs="仿宋"/>
                <w:color w:val="000000" w:themeColor="text1"/>
                <w:sz w:val="22"/>
                <w:szCs w:val="22"/>
                <w:lang w:val="en-US" w:eastAsia="zh-CN"/>
                <w14:textFill>
                  <w14:solidFill>
                    <w14:schemeClr w14:val="tx1"/>
                  </w14:solidFill>
                </w14:textFill>
              </w:rPr>
              <w:t>较普通人群</w:t>
            </w:r>
            <w:r>
              <w:rPr>
                <w:rFonts w:hint="eastAsia" w:ascii="仿宋" w:hAnsi="仿宋" w:eastAsia="仿宋" w:cs="仿宋"/>
                <w:color w:val="000000" w:themeColor="text1"/>
                <w:sz w:val="22"/>
                <w:szCs w:val="22"/>
                <w14:textFill>
                  <w14:solidFill>
                    <w14:schemeClr w14:val="tx1"/>
                  </w14:solidFill>
                </w14:textFill>
              </w:rPr>
              <w:t>提高5个百分点</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不设封顶线</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罕见病人群</w:t>
            </w:r>
            <w:r>
              <w:rPr>
                <w:rFonts w:hint="eastAsia" w:ascii="仿宋" w:hAnsi="仿宋" w:eastAsia="仿宋" w:cs="仿宋"/>
                <w:color w:val="000000" w:themeColor="text1"/>
                <w:sz w:val="22"/>
                <w:szCs w:val="22"/>
                <w:lang w:eastAsia="zh-CN"/>
                <w14:textFill>
                  <w14:solidFill>
                    <w14:schemeClr w14:val="tx1"/>
                  </w14:solidFill>
                </w14:textFill>
              </w:rPr>
              <w:t>，</w:t>
            </w:r>
            <w:r>
              <w:rPr>
                <w:rFonts w:hint="eastAsia" w:ascii="仿宋" w:hAnsi="仿宋" w:eastAsia="仿宋" w:cs="仿宋"/>
                <w:color w:val="000000" w:themeColor="text1"/>
                <w:sz w:val="22"/>
                <w:szCs w:val="22"/>
                <w14:textFill>
                  <w14:solidFill>
                    <w14:schemeClr w14:val="tx1"/>
                  </w14:solidFill>
                </w14:textFill>
              </w:rPr>
              <w:t>同《安徽省医疗保障局安徽省财政厅关于进一步规范统一医保基金支付范围的通知》（皖医保发〔2024〕7号）所提需求单。</w:t>
            </w:r>
          </w:p>
        </w:tc>
      </w:tr>
    </w:tbl>
    <w:p w14:paraId="34683B59">
      <w:pPr>
        <w:numPr>
          <w:ilvl w:val="0"/>
          <w:numId w:val="0"/>
        </w:numPr>
        <w:spacing w:line="540" w:lineRule="exact"/>
        <w:ind w:firstLine="640" w:firstLineChars="200"/>
        <w:rPr>
          <w:rFonts w:hint="eastAsia" w:ascii="黑体" w:hAnsi="黑体" w:eastAsia="黑体" w:cs="黑体"/>
          <w:bCs/>
          <w:color w:val="000000" w:themeColor="text1"/>
          <w:kern w:val="0"/>
          <w:sz w:val="32"/>
          <w:szCs w:val="32"/>
          <w:lang w:val="en-US" w:eastAsia="zh-CN"/>
          <w14:textFill>
            <w14:solidFill>
              <w14:schemeClr w14:val="tx1"/>
            </w14:solidFill>
          </w14:textFill>
        </w:rPr>
      </w:pPr>
      <w:r>
        <w:rPr>
          <w:rFonts w:hint="eastAsia" w:ascii="黑体" w:hAnsi="黑体" w:eastAsia="黑体" w:cs="黑体"/>
          <w:bCs/>
          <w:color w:val="000000" w:themeColor="text1"/>
          <w:kern w:val="0"/>
          <w:sz w:val="32"/>
          <w:szCs w:val="32"/>
          <w:lang w:val="en-US" w:eastAsia="zh-CN"/>
          <w14:textFill>
            <w14:solidFill>
              <w14:schemeClr w14:val="tx1"/>
            </w14:solidFill>
          </w14:textFill>
        </w:rPr>
        <w:t>二、城乡居民医保意外伤害住院费用如何享受待遇？</w:t>
      </w:r>
    </w:p>
    <w:p w14:paraId="6B5AF9C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default" w:ascii="仿宋_GB2312" w:eastAsia="仿宋_GB2312"/>
          <w:color w:val="000000" w:themeColor="text1"/>
          <w:sz w:val="32"/>
          <w:lang w:val="en-US" w:eastAsia="zh-CN"/>
          <w14:textFill>
            <w14:solidFill>
              <w14:schemeClr w14:val="tx1"/>
            </w14:solidFill>
          </w14:textFill>
        </w:rPr>
        <w:t>参保人员意外伤害住院的医疗费用依法由医保基金按规定予以支付</w:t>
      </w:r>
      <w:r>
        <w:rPr>
          <w:rFonts w:hint="eastAsia" w:ascii="仿宋_GB2312" w:eastAsia="仿宋_GB2312"/>
          <w:color w:val="000000" w:themeColor="text1"/>
          <w:sz w:val="32"/>
          <w:lang w:val="en-US" w:eastAsia="zh-CN"/>
          <w14:textFill>
            <w14:solidFill>
              <w14:schemeClr w14:val="tx1"/>
            </w14:solidFill>
          </w14:textFill>
        </w:rPr>
        <w:t>：</w:t>
      </w:r>
    </w:p>
    <w:p w14:paraId="4FFC13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1.</w:t>
      </w:r>
      <w:r>
        <w:rPr>
          <w:rFonts w:hint="default" w:ascii="仿宋_GB2312" w:eastAsia="仿宋_GB2312"/>
          <w:color w:val="000000" w:themeColor="text1"/>
          <w:sz w:val="32"/>
          <w:lang w:val="en-US" w:eastAsia="zh-CN"/>
          <w14:textFill>
            <w14:solidFill>
              <w14:schemeClr w14:val="tx1"/>
            </w14:solidFill>
          </w14:textFill>
        </w:rPr>
        <w:t>明确无他方责任的意外伤害住院，按照普通住院待遇报</w:t>
      </w:r>
      <w:r>
        <w:rPr>
          <w:rFonts w:hint="eastAsia" w:ascii="仿宋_GB2312" w:eastAsia="仿宋_GB2312"/>
          <w:color w:val="000000" w:themeColor="text1"/>
          <w:sz w:val="32"/>
          <w:lang w:val="en-US" w:eastAsia="zh-CN"/>
          <w14:textFill>
            <w14:solidFill>
              <w14:schemeClr w14:val="tx1"/>
            </w14:solidFill>
          </w14:textFill>
        </w:rPr>
        <w:t>销；</w:t>
      </w:r>
    </w:p>
    <w:p w14:paraId="0F3783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2.</w:t>
      </w:r>
      <w:r>
        <w:rPr>
          <w:rFonts w:hint="default" w:ascii="仿宋_GB2312" w:eastAsia="仿宋_GB2312"/>
          <w:color w:val="000000" w:themeColor="text1"/>
          <w:sz w:val="32"/>
          <w:lang w:val="en-US" w:eastAsia="zh-CN"/>
          <w14:textFill>
            <w14:solidFill>
              <w14:schemeClr w14:val="tx1"/>
            </w14:solidFill>
          </w14:textFill>
        </w:rPr>
        <w:t xml:space="preserve">明确有他方责任的意外伤害住院，根据相关部门划分的责任分担比例，对于超出第三方责任以外由本人承担的住院医疗费用，按照普通住院待遇报销，相关部门未划分责任比例的，根据调解文书、法律文书等确定医保基金分担比例； </w:t>
      </w:r>
    </w:p>
    <w:p w14:paraId="3FEC912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3.</w:t>
      </w:r>
      <w:r>
        <w:rPr>
          <w:rFonts w:hint="default" w:ascii="仿宋_GB2312" w:eastAsia="仿宋_GB2312"/>
          <w:color w:val="000000" w:themeColor="text1"/>
          <w:sz w:val="32"/>
          <w:lang w:val="en-US" w:eastAsia="zh-CN"/>
          <w14:textFill>
            <w14:solidFill>
              <w14:schemeClr w14:val="tx1"/>
            </w14:solidFill>
          </w14:textFill>
        </w:rPr>
        <w:t>无法确定他方责任的意外伤害住院医疗费用，参保人员承诺无他方责任后，按照普通住院待遇报销。出现虚假承诺骗取医保基金的，按照法律法规有关规定追究相关责任。</w:t>
      </w:r>
    </w:p>
    <w:p w14:paraId="16A1CD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default" w:ascii="仿宋_GB2312" w:eastAsia="仿宋_GB2312"/>
          <w:color w:val="000000" w:themeColor="text1"/>
          <w:sz w:val="32"/>
          <w:lang w:val="en-US" w:eastAsia="zh-CN"/>
          <w14:textFill>
            <w14:solidFill>
              <w14:schemeClr w14:val="tx1"/>
            </w14:solidFill>
          </w14:textFill>
        </w:rPr>
        <w:t xml:space="preserve">前款规定中应当由第三人支付的医疗费用，第三人不支付或者无法确定第三人的，依据人民法院或有关部门出具的可以证明相应情形的相关生效的法律文书等予以认定，并由当事人向参保地医保经办机构书面申请基本医疗保险基金先行支付，基本医疗保险基金先行支付后，有权向第三人追偿。 </w:t>
      </w:r>
    </w:p>
    <w:p w14:paraId="4CBF647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default" w:ascii="仿宋_GB2312" w:eastAsia="仿宋_GB2312"/>
          <w:color w:val="000000" w:themeColor="text1"/>
          <w:sz w:val="32"/>
          <w:lang w:val="en-US" w:eastAsia="zh-CN"/>
          <w14:textFill>
            <w14:solidFill>
              <w14:schemeClr w14:val="tx1"/>
            </w14:solidFill>
          </w14:textFill>
        </w:rPr>
        <w:t xml:space="preserve">因见义勇为发生的医药费用，执行《安徽省见义勇为人员奖 励和保障条例》有关规定。因执行救灾救援等公益任务而负伤住 院的，可按照普通住院待遇报销，须提供县级或县以上政府相关 部门出具的情节证据。 </w:t>
      </w:r>
    </w:p>
    <w:p w14:paraId="497EBBE2">
      <w:pPr>
        <w:numPr>
          <w:ilvl w:val="0"/>
          <w:numId w:val="0"/>
        </w:numPr>
        <w:spacing w:line="540" w:lineRule="exact"/>
        <w:ind w:firstLine="640" w:firstLineChars="200"/>
        <w:rPr>
          <w:rFonts w:hint="eastAsia" w:ascii="黑体" w:hAnsi="黑体" w:eastAsia="黑体" w:cs="黑体"/>
          <w:bCs/>
          <w:color w:val="000000" w:themeColor="text1"/>
          <w:kern w:val="0"/>
          <w:sz w:val="32"/>
          <w:szCs w:val="32"/>
          <w:lang w:val="en-US" w:eastAsia="zh-CN"/>
          <w14:textFill>
            <w14:solidFill>
              <w14:schemeClr w14:val="tx1"/>
            </w14:solidFill>
          </w14:textFill>
        </w:rPr>
      </w:pPr>
      <w:r>
        <w:rPr>
          <w:rFonts w:hint="eastAsia" w:ascii="黑体" w:hAnsi="黑体" w:eastAsia="黑体" w:cs="黑体"/>
          <w:bCs/>
          <w:color w:val="000000" w:themeColor="text1"/>
          <w:kern w:val="0"/>
          <w:sz w:val="32"/>
          <w:szCs w:val="32"/>
          <w:lang w:val="en-US" w:eastAsia="zh-CN"/>
          <w14:textFill>
            <w14:solidFill>
              <w14:schemeClr w14:val="tx1"/>
            </w14:solidFill>
          </w14:textFill>
        </w:rPr>
        <w:t>三、城乡居民医保“罕见病住院”报销比例和限额是多少？</w:t>
      </w:r>
    </w:p>
    <w:p w14:paraId="64BCA56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000000" w:themeColor="text1"/>
          <w:sz w:val="32"/>
          <w:lang w:val="en-US" w:eastAsia="zh-CN"/>
          <w14:textFill>
            <w14:solidFill>
              <w14:schemeClr w14:val="tx1"/>
            </w14:solidFill>
          </w14:textFill>
        </w:rPr>
      </w:pPr>
      <w:r>
        <w:rPr>
          <w:rFonts w:hint="eastAsia" w:ascii="仿宋_GB2312" w:eastAsia="仿宋_GB2312"/>
          <w:color w:val="000000" w:themeColor="text1"/>
          <w:sz w:val="32"/>
          <w:lang w:val="en-US" w:eastAsia="zh-CN"/>
          <w14:textFill>
            <w14:solidFill>
              <w14:schemeClr w14:val="tx1"/>
            </w14:solidFill>
          </w14:textFill>
        </w:rPr>
        <w:t>对于国家《第一批罕见病目录》《第二批罕</w:t>
      </w:r>
      <w:r>
        <w:rPr>
          <w:rFonts w:hint="default" w:ascii="仿宋_GB2312" w:eastAsia="仿宋_GB2312"/>
          <w:color w:val="000000" w:themeColor="text1"/>
          <w:sz w:val="32"/>
          <w:lang w:val="en-US" w:eastAsia="zh-CN"/>
          <w14:textFill>
            <w14:solidFill>
              <w14:schemeClr w14:val="tx1"/>
            </w14:solidFill>
          </w14:textFill>
        </w:rPr>
        <w:t>见病目录》中收录的部分罕见病病种，目前特殊治疗药品尚未纳入基本医疗保险药品目录范围的，罕见病患者在定点医疗机构发生的符合药品法定适应症或有临床循证医学证据的</w:t>
      </w:r>
      <w:r>
        <w:rPr>
          <w:rFonts w:hint="eastAsia" w:ascii="仿宋_GB2312" w:eastAsia="仿宋_GB2312"/>
          <w:color w:val="000000" w:themeColor="text1"/>
          <w:sz w:val="32"/>
          <w:lang w:val="en-US" w:eastAsia="zh-CN"/>
          <w14:textFill>
            <w14:solidFill>
              <w14:schemeClr w14:val="tx1"/>
            </w14:solidFill>
          </w14:textFill>
        </w:rPr>
        <w:t>住院合规罕见病药品费用，大病保险基金实行单行支付。统一起付线</w:t>
      </w:r>
      <w:r>
        <w:rPr>
          <w:rFonts w:hint="default" w:ascii="仿宋_GB2312" w:eastAsia="仿宋_GB2312"/>
          <w:color w:val="000000" w:themeColor="text1"/>
          <w:sz w:val="32"/>
          <w:lang w:val="en-US" w:eastAsia="zh-CN"/>
          <w14:textFill>
            <w14:solidFill>
              <w14:schemeClr w14:val="tx1"/>
            </w14:solidFill>
          </w14:textFill>
        </w:rPr>
        <w:t>为2万元，起付线以上部分继续执行大病保险分费用段按比例报销，支付金额计入大病保险年度最高支付限额。</w:t>
      </w:r>
      <w:r>
        <w:rPr>
          <w:rFonts w:hint="eastAsia" w:ascii="仿宋_GB2312" w:eastAsia="仿宋_GB2312"/>
          <w:color w:val="000000" w:themeColor="text1"/>
          <w:sz w:val="32"/>
          <w:lang w:val="en-US" w:eastAsia="zh-CN"/>
          <w14:textFill>
            <w14:solidFill>
              <w14:schemeClr w14:val="tx1"/>
            </w14:solidFill>
          </w14:textFill>
        </w:rPr>
        <w:t>符合医保政策范围内医疗费用具体报销比例如下：</w:t>
      </w:r>
    </w:p>
    <w:tbl>
      <w:tblPr>
        <w:tblStyle w:val="3"/>
        <w:tblW w:w="5584" w:type="pct"/>
        <w:tblInd w:w="-529" w:type="dxa"/>
        <w:tblLayout w:type="fixed"/>
        <w:tblCellMar>
          <w:top w:w="0" w:type="dxa"/>
          <w:left w:w="108" w:type="dxa"/>
          <w:bottom w:w="0" w:type="dxa"/>
          <w:right w:w="108" w:type="dxa"/>
        </w:tblCellMar>
      </w:tblPr>
      <w:tblGrid>
        <w:gridCol w:w="1192"/>
        <w:gridCol w:w="1666"/>
        <w:gridCol w:w="2800"/>
        <w:gridCol w:w="2384"/>
        <w:gridCol w:w="2281"/>
      </w:tblGrid>
      <w:tr w14:paraId="0B73D862">
        <w:tblPrEx>
          <w:tblCellMar>
            <w:top w:w="0" w:type="dxa"/>
            <w:left w:w="108" w:type="dxa"/>
            <w:bottom w:w="0" w:type="dxa"/>
            <w:right w:w="108" w:type="dxa"/>
          </w:tblCellMar>
        </w:tblPrEx>
        <w:trPr>
          <w:trHeight w:val="74" w:hRule="atLeast"/>
        </w:trPr>
        <w:tc>
          <w:tcPr>
            <w:tcW w:w="10323" w:type="dxa"/>
            <w:gridSpan w:val="5"/>
            <w:tcBorders>
              <w:top w:val="single" w:color="72A7BB" w:sz="0" w:space="0"/>
              <w:left w:val="single" w:color="72A7BB" w:sz="0" w:space="0"/>
              <w:bottom w:val="single" w:color="72A7BB" w:sz="4" w:space="0"/>
              <w:right w:val="single" w:color="72A7BB" w:sz="0" w:space="0"/>
            </w:tcBorders>
            <w:shd w:val="clear" w:color="auto" w:fill="CEE1E8"/>
            <w:noWrap/>
            <w:vAlign w:val="center"/>
          </w:tcPr>
          <w:p w14:paraId="3E33F5A5">
            <w:pPr>
              <w:widowControl/>
              <w:spacing w:before="100" w:beforeAutospacing="1" w:after="100" w:afterAutospacing="1"/>
              <w:jc w:val="center"/>
              <w:rPr>
                <w:color w:val="000000" w:themeColor="text1"/>
                <w14:textFill>
                  <w14:solidFill>
                    <w14:schemeClr w14:val="tx1"/>
                  </w14:solidFill>
                </w14:textFill>
              </w:rPr>
            </w:pPr>
            <w:r>
              <w:rPr>
                <w:rFonts w:hint="eastAsia" w:ascii="方正小标宋简体" w:hAnsi="宋体" w:eastAsia="方正小标宋简体" w:cs="宋体"/>
                <w:color w:val="000000" w:themeColor="text1"/>
                <w:kern w:val="0"/>
                <w:sz w:val="32"/>
                <w:szCs w:val="32"/>
                <w14:textFill>
                  <w14:solidFill>
                    <w14:schemeClr w14:val="tx1"/>
                  </w14:solidFill>
                </w14:textFill>
              </w:rPr>
              <w:t>蚌埠市（统筹地区）</w:t>
            </w:r>
            <w:r>
              <w:rPr>
                <w:rFonts w:hint="eastAsia" w:ascii="方正小标宋简体" w:hAnsi="宋体" w:eastAsia="方正小标宋简体" w:cs="宋体"/>
                <w:color w:val="000000" w:themeColor="text1"/>
                <w:kern w:val="0"/>
                <w:sz w:val="32"/>
                <w:szCs w:val="32"/>
                <w:lang w:val="en-US" w:eastAsia="zh-CN"/>
                <w14:textFill>
                  <w14:solidFill>
                    <w14:schemeClr w14:val="tx1"/>
                  </w14:solidFill>
                </w14:textFill>
              </w:rPr>
              <w:t>城乡居民医保“罕见病住院”</w:t>
            </w:r>
            <w:r>
              <w:rPr>
                <w:rFonts w:hint="eastAsia" w:ascii="方正小标宋简体" w:hAnsi="宋体" w:eastAsia="方正小标宋简体" w:cs="宋体"/>
                <w:color w:val="000000" w:themeColor="text1"/>
                <w:kern w:val="0"/>
                <w:sz w:val="32"/>
                <w:szCs w:val="32"/>
                <w14:textFill>
                  <w14:solidFill>
                    <w14:schemeClr w14:val="tx1"/>
                  </w14:solidFill>
                </w14:textFill>
              </w:rPr>
              <w:t>支付比例</w:t>
            </w:r>
          </w:p>
        </w:tc>
      </w:tr>
      <w:tr w14:paraId="57562B7E">
        <w:tblPrEx>
          <w:tblCellMar>
            <w:top w:w="0" w:type="dxa"/>
            <w:left w:w="108" w:type="dxa"/>
            <w:bottom w:w="0" w:type="dxa"/>
            <w:right w:w="108" w:type="dxa"/>
          </w:tblCellMar>
        </w:tblPrEx>
        <w:trPr>
          <w:trHeight w:val="1920" w:hRule="atLeast"/>
        </w:trPr>
        <w:tc>
          <w:tcPr>
            <w:tcW w:w="1192"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3A6DC506">
            <w:pPr>
              <w:widowControl/>
              <w:spacing w:before="100" w:beforeAutospacing="1" w:after="100" w:afterAutospacing="1"/>
              <w:jc w:val="center"/>
              <w:rPr>
                <w:rFonts w:hint="eastAsia" w:eastAsia="宋体"/>
                <w:color w:val="000000" w:themeColor="text1"/>
                <w:lang w:eastAsia="zh-CN"/>
                <w14:textFill>
                  <w14:solidFill>
                    <w14:schemeClr w14:val="tx1"/>
                  </w14:solidFill>
                </w14:textFill>
              </w:rPr>
            </w:pPr>
            <w:r>
              <w:rPr>
                <w:rFonts w:ascii="仿宋_GB2312" w:hAnsi="宋体" w:eastAsia="仿宋_GB2312" w:cs="仿宋_GB2312"/>
                <w:b/>
                <w:bCs/>
                <w:color w:val="000000" w:themeColor="text1"/>
                <w:kern w:val="0"/>
                <w:sz w:val="22"/>
                <w:lang w:bidi="ar"/>
                <w14:textFill>
                  <w14:solidFill>
                    <w14:schemeClr w14:val="tx1"/>
                  </w14:solidFill>
                </w14:textFill>
              </w:rPr>
              <w:t>备案类别</w:t>
            </w:r>
          </w:p>
        </w:tc>
        <w:tc>
          <w:tcPr>
            <w:tcW w:w="1666" w:type="dxa"/>
            <w:tcBorders>
              <w:top w:val="single" w:color="72A7BB" w:sz="4" w:space="0"/>
              <w:left w:val="single" w:color="72A7BB" w:sz="4" w:space="0"/>
              <w:right w:val="single" w:color="72A7BB" w:sz="4" w:space="0"/>
            </w:tcBorders>
            <w:shd w:val="clear" w:color="auto" w:fill="F0F0F0"/>
            <w:vAlign w:val="center"/>
          </w:tcPr>
          <w:p w14:paraId="3789DC5A">
            <w:pPr>
              <w:widowControl/>
              <w:spacing w:before="100" w:beforeAutospacing="1" w:after="100" w:afterAutospacing="1"/>
              <w:jc w:val="center"/>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22"/>
                <w:lang w:val="en-US" w:eastAsia="zh-CN" w:bidi="ar"/>
                <w14:textFill>
                  <w14:solidFill>
                    <w14:schemeClr w14:val="tx1"/>
                  </w14:solidFill>
                </w14:textFill>
              </w:rPr>
              <w:t>起付标准（元）</w:t>
            </w:r>
          </w:p>
        </w:tc>
        <w:tc>
          <w:tcPr>
            <w:tcW w:w="2800" w:type="dxa"/>
            <w:tcBorders>
              <w:top w:val="single" w:color="72A7BB" w:sz="4" w:space="0"/>
              <w:left w:val="single" w:color="72A7BB" w:sz="4" w:space="0"/>
              <w:right w:val="single" w:color="72A7BB" w:sz="4" w:space="0"/>
            </w:tcBorders>
            <w:shd w:val="clear" w:color="auto" w:fill="FEFEFE"/>
            <w:vAlign w:val="center"/>
          </w:tcPr>
          <w:p w14:paraId="5D95F73F">
            <w:pPr>
              <w:widowControl/>
              <w:spacing w:before="100" w:beforeAutospacing="1" w:after="100" w:afterAutospacing="1"/>
              <w:jc w:val="center"/>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22"/>
                <w:lang w:val="en-US" w:eastAsia="zh-CN" w:bidi="ar"/>
                <w14:textFill>
                  <w14:solidFill>
                    <w14:schemeClr w14:val="tx1"/>
                  </w14:solidFill>
                </w14:textFill>
              </w:rPr>
              <w:t>合规医疗费用累计段</w:t>
            </w:r>
          </w:p>
        </w:tc>
        <w:tc>
          <w:tcPr>
            <w:tcW w:w="2384" w:type="dxa"/>
            <w:tcBorders>
              <w:top w:val="single" w:color="72A7BB" w:sz="4" w:space="0"/>
              <w:left w:val="single" w:color="72A7BB" w:sz="4" w:space="0"/>
              <w:right w:val="single" w:color="72A7BB" w:sz="4" w:space="0"/>
            </w:tcBorders>
            <w:shd w:val="clear" w:color="auto" w:fill="F0F0F0"/>
            <w:vAlign w:val="center"/>
          </w:tcPr>
          <w:p w14:paraId="32CB14CA">
            <w:pPr>
              <w:widowControl/>
              <w:jc w:val="center"/>
              <w:rPr>
                <w:rFonts w:hint="default" w:ascii="仿宋_GB2312" w:hAnsi="宋体" w:eastAsia="仿宋_GB2312" w:cs="宋体"/>
                <w:color w:val="000000" w:themeColor="text1"/>
                <w:kern w:val="0"/>
                <w:sz w:val="22"/>
                <w:lang w:val="en-US" w:eastAsia="zh-CN"/>
                <w14:textFill>
                  <w14:solidFill>
                    <w14:schemeClr w14:val="tx1"/>
                  </w14:solidFill>
                </w14:textFill>
              </w:rPr>
            </w:pPr>
            <w:r>
              <w:rPr>
                <w:rFonts w:hint="eastAsia" w:ascii="仿宋_GB2312" w:hAnsi="宋体" w:eastAsia="仿宋_GB2312" w:cs="仿宋_GB2312"/>
                <w:b/>
                <w:bCs/>
                <w:color w:val="000000" w:themeColor="text1"/>
                <w:kern w:val="0"/>
                <w:sz w:val="22"/>
                <w:lang w:val="en-US" w:eastAsia="zh-CN" w:bidi="ar"/>
                <w14:textFill>
                  <w14:solidFill>
                    <w14:schemeClr w14:val="tx1"/>
                  </w14:solidFill>
                </w14:textFill>
              </w:rPr>
              <w:t>支付比例</w:t>
            </w:r>
          </w:p>
        </w:tc>
        <w:tc>
          <w:tcPr>
            <w:tcW w:w="2281" w:type="dxa"/>
            <w:tcBorders>
              <w:top w:val="single" w:color="72A7BB" w:sz="4" w:space="0"/>
              <w:left w:val="single" w:color="72A7BB" w:sz="4" w:space="0"/>
              <w:bottom w:val="single" w:color="72A7BB" w:sz="4" w:space="0"/>
              <w:right w:val="single" w:color="72A7BB" w:sz="4" w:space="0"/>
            </w:tcBorders>
            <w:shd w:val="clear" w:color="auto" w:fill="FEFEFE"/>
            <w:vAlign w:val="center"/>
          </w:tcPr>
          <w:p w14:paraId="6678F016">
            <w:pPr>
              <w:widowControl/>
              <w:spacing w:before="100" w:beforeAutospacing="1" w:after="100" w:afterAutospacing="1"/>
              <w:jc w:val="center"/>
              <w:rPr>
                <w:color w:val="000000" w:themeColor="text1"/>
                <w14:textFill>
                  <w14:solidFill>
                    <w14:schemeClr w14:val="tx1"/>
                  </w14:solidFill>
                </w14:textFill>
              </w:rPr>
            </w:pPr>
            <w:r>
              <w:rPr>
                <w:rFonts w:ascii="仿宋_GB2312" w:hAnsi="宋体" w:eastAsia="仿宋_GB2312" w:cs="仿宋_GB2312"/>
                <w:b/>
                <w:bCs/>
                <w:color w:val="000000" w:themeColor="text1"/>
                <w:kern w:val="0"/>
                <w:sz w:val="22"/>
                <w:lang w:bidi="ar"/>
                <w14:textFill>
                  <w14:solidFill>
                    <w14:schemeClr w14:val="tx1"/>
                  </w14:solidFill>
                </w14:textFill>
              </w:rPr>
              <w:t>基金最高支付限额（万元）</w:t>
            </w:r>
          </w:p>
        </w:tc>
      </w:tr>
      <w:tr w14:paraId="2E256822">
        <w:tblPrEx>
          <w:tblCellMar>
            <w:top w:w="0" w:type="dxa"/>
            <w:left w:w="108" w:type="dxa"/>
            <w:bottom w:w="0" w:type="dxa"/>
            <w:right w:w="108" w:type="dxa"/>
          </w:tblCellMar>
        </w:tblPrEx>
        <w:trPr>
          <w:trHeight w:val="348" w:hRule="atLeast"/>
        </w:trPr>
        <w:tc>
          <w:tcPr>
            <w:tcW w:w="1192" w:type="dxa"/>
            <w:vMerge w:val="restart"/>
            <w:tcBorders>
              <w:top w:val="single" w:color="72A7BB" w:sz="4" w:space="0"/>
              <w:left w:val="single" w:color="72A7BB" w:sz="4" w:space="0"/>
              <w:bottom w:val="single" w:color="72A7BB" w:sz="4" w:space="0"/>
              <w:right w:val="single" w:color="72A7BB" w:sz="4" w:space="0"/>
            </w:tcBorders>
            <w:shd w:val="clear" w:color="auto" w:fill="FEFEFE"/>
            <w:noWrap/>
            <w:vAlign w:val="center"/>
          </w:tcPr>
          <w:p w14:paraId="041A33A7">
            <w:pPr>
              <w:widowControl/>
              <w:spacing w:before="100" w:beforeAutospacing="1" w:after="100" w:afterAutospacing="1"/>
              <w:jc w:val="center"/>
              <w:rPr>
                <w:rFonts w:ascii="仿宋_GB2312" w:hAnsi="宋体" w:eastAsia="仿宋_GB2312" w:cs="仿宋_GB2312"/>
                <w:b/>
                <w:bCs/>
                <w:color w:val="000000" w:themeColor="text1"/>
                <w:kern w:val="0"/>
                <w:sz w:val="22"/>
                <w:lang w:bidi="ar"/>
                <w14:textFill>
                  <w14:solidFill>
                    <w14:schemeClr w14:val="tx1"/>
                  </w14:solidFill>
                </w14:textFill>
              </w:rPr>
            </w:pPr>
            <w:r>
              <w:rPr>
                <w:rFonts w:hint="eastAsia" w:ascii="仿宋_GB2312" w:hAnsi="宋体" w:eastAsia="仿宋_GB2312" w:cs="宋体"/>
                <w:b/>
                <w:bCs/>
                <w:color w:val="000000" w:themeColor="text1"/>
                <w:kern w:val="0"/>
                <w:sz w:val="22"/>
                <w14:textFill>
                  <w14:solidFill>
                    <w14:schemeClr w14:val="tx1"/>
                  </w14:solidFill>
                </w14:textFill>
              </w:rPr>
              <w:t>本地就医人员</w:t>
            </w:r>
          </w:p>
        </w:tc>
        <w:tc>
          <w:tcPr>
            <w:tcW w:w="1666" w:type="dxa"/>
            <w:vMerge w:val="restart"/>
            <w:tcBorders>
              <w:top w:val="single" w:color="72A7BB" w:sz="4" w:space="0"/>
              <w:left w:val="single" w:color="72A7BB" w:sz="4" w:space="0"/>
              <w:right w:val="single" w:color="72A7BB" w:sz="4" w:space="0"/>
            </w:tcBorders>
            <w:shd w:val="clear" w:color="auto" w:fill="F0F0F0"/>
            <w:noWrap/>
            <w:vAlign w:val="center"/>
          </w:tcPr>
          <w:p w14:paraId="61AB6EB5">
            <w:pPr>
              <w:widowControl/>
              <w:spacing w:before="100" w:beforeAutospacing="1" w:after="100" w:afterAutospacing="1"/>
              <w:jc w:val="center"/>
              <w:rPr>
                <w:rFonts w:hint="default" w:ascii="仿宋_GB2312" w:hAnsi="宋体" w:eastAsia="仿宋_GB2312" w:cs="仿宋_GB2312"/>
                <w:color w:val="000000" w:themeColor="text1"/>
                <w:kern w:val="0"/>
                <w:sz w:val="2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2"/>
                <w:lang w:val="en-US" w:eastAsia="zh-CN" w:bidi="ar"/>
                <w14:textFill>
                  <w14:solidFill>
                    <w14:schemeClr w14:val="tx1"/>
                  </w14:solidFill>
                </w14:textFill>
              </w:rPr>
              <w:t>20000</w:t>
            </w:r>
          </w:p>
        </w:tc>
        <w:tc>
          <w:tcPr>
            <w:tcW w:w="2800" w:type="dxa"/>
            <w:tcBorders>
              <w:top w:val="single" w:color="72A7BB" w:sz="4" w:space="0"/>
              <w:left w:val="single" w:color="72A7BB" w:sz="4" w:space="0"/>
              <w:bottom w:val="single" w:color="72A7BB" w:sz="4" w:space="0"/>
              <w:right w:val="single" w:color="72A7BB" w:sz="4" w:space="0"/>
            </w:tcBorders>
            <w:shd w:val="clear" w:color="auto" w:fill="FEFEFE"/>
            <w:noWrap/>
            <w:vAlign w:val="center"/>
          </w:tcPr>
          <w:p w14:paraId="4C2EC82B">
            <w:pPr>
              <w:widowControl/>
              <w:spacing w:before="100" w:beforeAutospacing="1" w:after="100" w:afterAutospacing="1"/>
              <w:jc w:val="center"/>
              <w:rPr>
                <w:rFonts w:hint="default" w:ascii="仿宋_GB2312" w:hAnsi="宋体" w:eastAsia="仿宋_GB2312" w:cs="仿宋_GB2312"/>
                <w:color w:val="000000" w:themeColor="text1"/>
                <w:kern w:val="0"/>
                <w:sz w:val="2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2"/>
                <w:lang w:val="en-US" w:eastAsia="zh-CN" w:bidi="ar"/>
                <w14:textFill>
                  <w14:solidFill>
                    <w14:schemeClr w14:val="tx1"/>
                  </w14:solidFill>
                </w14:textFill>
              </w:rPr>
              <w:t>0万元-5万元（含）</w:t>
            </w:r>
          </w:p>
        </w:tc>
        <w:tc>
          <w:tcPr>
            <w:tcW w:w="2384" w:type="dxa"/>
            <w:tcBorders>
              <w:top w:val="single" w:color="72A7BB" w:sz="4" w:space="0"/>
              <w:left w:val="single" w:color="72A7BB" w:sz="4" w:space="0"/>
              <w:bottom w:val="single" w:color="72A7BB" w:sz="4" w:space="0"/>
              <w:right w:val="single" w:color="72A7BB" w:sz="4" w:space="0"/>
            </w:tcBorders>
            <w:shd w:val="clear" w:color="auto" w:fill="F0F0F0"/>
            <w:noWrap/>
            <w:vAlign w:val="center"/>
          </w:tcPr>
          <w:p w14:paraId="471F6330">
            <w:pPr>
              <w:widowControl/>
              <w:spacing w:before="100" w:beforeAutospacing="1" w:after="100" w:afterAutospacing="1"/>
              <w:jc w:val="center"/>
              <w:rPr>
                <w:rFonts w:ascii="仿宋_GB2312" w:hAnsi="宋体" w:eastAsia="仿宋_GB2312" w:cs="仿宋_GB2312"/>
                <w:color w:val="000000" w:themeColor="text1"/>
                <w:kern w:val="0"/>
                <w:sz w:val="22"/>
                <w:szCs w:val="2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2"/>
                <w:lang w:val="en-US" w:eastAsia="zh-CN" w:bidi="ar"/>
                <w14:textFill>
                  <w14:solidFill>
                    <w14:schemeClr w14:val="tx1"/>
                  </w14:solidFill>
                </w14:textFill>
              </w:rPr>
              <w:t>60</w:t>
            </w:r>
            <w:r>
              <w:rPr>
                <w:rFonts w:hint="eastAsia" w:ascii="仿宋_GB2312" w:hAnsi="宋体" w:eastAsia="仿宋_GB2312" w:cs="仿宋_GB2312"/>
                <w:color w:val="000000" w:themeColor="text1"/>
                <w:kern w:val="0"/>
                <w:sz w:val="22"/>
                <w:lang w:bidi="ar"/>
                <w14:textFill>
                  <w14:solidFill>
                    <w14:schemeClr w14:val="tx1"/>
                  </w14:solidFill>
                </w14:textFill>
              </w:rPr>
              <w:t>%</w:t>
            </w:r>
          </w:p>
        </w:tc>
        <w:tc>
          <w:tcPr>
            <w:tcW w:w="2281" w:type="dxa"/>
            <w:vMerge w:val="restart"/>
            <w:tcBorders>
              <w:top w:val="single" w:color="72A7BB" w:sz="4" w:space="0"/>
              <w:left w:val="single" w:color="72A7BB" w:sz="4" w:space="0"/>
              <w:bottom w:val="single" w:color="72A7BB" w:sz="4" w:space="0"/>
              <w:right w:val="single" w:color="72A7BB" w:sz="4" w:space="0"/>
            </w:tcBorders>
            <w:shd w:val="clear" w:color="auto" w:fill="F0F0F0"/>
            <w:noWrap/>
            <w:vAlign w:val="center"/>
          </w:tcPr>
          <w:p w14:paraId="6A9F87FC">
            <w:pPr>
              <w:widowControl/>
              <w:jc w:val="center"/>
              <w:rPr>
                <w:rFonts w:hint="default" w:ascii="仿宋_GB2312" w:hAnsi="宋体" w:eastAsia="仿宋_GB2312" w:cs="宋体"/>
                <w:color w:val="000000" w:themeColor="text1"/>
                <w:kern w:val="0"/>
                <w:sz w:val="22"/>
                <w:lang w:val="en-US" w:eastAsia="zh-CN"/>
                <w14:textFill>
                  <w14:solidFill>
                    <w14:schemeClr w14:val="tx1"/>
                  </w14:solidFill>
                </w14:textFill>
              </w:rPr>
            </w:pPr>
            <w:r>
              <w:rPr>
                <w:rFonts w:hint="eastAsia" w:ascii="仿宋_GB2312" w:hAnsi="宋体" w:eastAsia="仿宋_GB2312" w:cs="宋体"/>
                <w:color w:val="000000" w:themeColor="text1"/>
                <w:kern w:val="0"/>
                <w:sz w:val="22"/>
                <w:lang w:val="en-US" w:eastAsia="zh-CN"/>
                <w14:textFill>
                  <w14:solidFill>
                    <w14:schemeClr w14:val="tx1"/>
                  </w14:solidFill>
                </w14:textFill>
              </w:rPr>
              <w:t>30</w:t>
            </w:r>
          </w:p>
        </w:tc>
      </w:tr>
      <w:tr w14:paraId="1BEB0A04">
        <w:tblPrEx>
          <w:tblCellMar>
            <w:top w:w="0" w:type="dxa"/>
            <w:left w:w="108" w:type="dxa"/>
            <w:bottom w:w="0" w:type="dxa"/>
            <w:right w:w="108" w:type="dxa"/>
          </w:tblCellMar>
        </w:tblPrEx>
        <w:trPr>
          <w:trHeight w:val="324" w:hRule="atLeast"/>
        </w:trPr>
        <w:tc>
          <w:tcPr>
            <w:tcW w:w="1192" w:type="dxa"/>
            <w:vMerge w:val="continue"/>
            <w:tcBorders>
              <w:top w:val="single" w:color="72A7BB" w:sz="4" w:space="0"/>
              <w:left w:val="single" w:color="72A7BB" w:sz="4" w:space="0"/>
              <w:bottom w:val="single" w:color="72A7BB" w:sz="4" w:space="0"/>
              <w:right w:val="single" w:color="72A7BB" w:sz="4" w:space="0"/>
            </w:tcBorders>
            <w:shd w:val="clear" w:color="auto" w:fill="FEFEFE"/>
            <w:noWrap/>
            <w:vAlign w:val="center"/>
          </w:tcPr>
          <w:p w14:paraId="0485FF6A">
            <w:pPr>
              <w:widowControl/>
              <w:spacing w:before="100" w:beforeAutospacing="1" w:after="100" w:afterAutospacing="1"/>
              <w:jc w:val="left"/>
              <w:rPr>
                <w:rFonts w:ascii="仿宋_GB2312" w:hAnsi="宋体" w:eastAsia="仿宋_GB2312" w:cs="仿宋_GB2312"/>
                <w:b/>
                <w:bCs/>
                <w:color w:val="000000" w:themeColor="text1"/>
                <w:kern w:val="0"/>
                <w:sz w:val="22"/>
                <w:lang w:bidi="ar"/>
                <w14:textFill>
                  <w14:solidFill>
                    <w14:schemeClr w14:val="tx1"/>
                  </w14:solidFill>
                </w14:textFill>
              </w:rPr>
            </w:pPr>
          </w:p>
        </w:tc>
        <w:tc>
          <w:tcPr>
            <w:tcW w:w="1666" w:type="dxa"/>
            <w:vMerge w:val="continue"/>
            <w:tcBorders>
              <w:left w:val="single" w:color="72A7BB" w:sz="4" w:space="0"/>
              <w:right w:val="single" w:color="72A7BB" w:sz="4" w:space="0"/>
            </w:tcBorders>
            <w:shd w:val="clear" w:color="auto" w:fill="F0F0F0"/>
            <w:noWrap/>
            <w:vAlign w:val="center"/>
          </w:tcPr>
          <w:p w14:paraId="75687FB3">
            <w:pPr>
              <w:widowControl/>
              <w:spacing w:before="100" w:beforeAutospacing="1" w:after="100" w:afterAutospacing="1"/>
              <w:jc w:val="center"/>
              <w:rPr>
                <w:rFonts w:ascii="仿宋_GB2312" w:hAnsi="宋体" w:eastAsia="仿宋_GB2312" w:cs="仿宋_GB2312"/>
                <w:color w:val="000000" w:themeColor="text1"/>
                <w:kern w:val="0"/>
                <w:sz w:val="22"/>
                <w:lang w:bidi="ar"/>
                <w14:textFill>
                  <w14:solidFill>
                    <w14:schemeClr w14:val="tx1"/>
                  </w14:solidFill>
                </w14:textFill>
              </w:rPr>
            </w:pPr>
          </w:p>
        </w:tc>
        <w:tc>
          <w:tcPr>
            <w:tcW w:w="2800" w:type="dxa"/>
            <w:tcBorders>
              <w:top w:val="single" w:color="72A7BB" w:sz="4" w:space="0"/>
              <w:left w:val="single" w:color="72A7BB" w:sz="4" w:space="0"/>
              <w:bottom w:val="single" w:color="72A7BB" w:sz="4" w:space="0"/>
              <w:right w:val="single" w:color="72A7BB" w:sz="4" w:space="0"/>
            </w:tcBorders>
            <w:shd w:val="clear" w:color="auto" w:fill="FEFEFE"/>
            <w:noWrap/>
            <w:vAlign w:val="center"/>
          </w:tcPr>
          <w:p w14:paraId="58DF09CE">
            <w:pPr>
              <w:widowControl/>
              <w:spacing w:before="100" w:beforeAutospacing="1" w:after="100" w:afterAutospacing="1"/>
              <w:jc w:val="center"/>
              <w:rPr>
                <w:rFonts w:ascii="仿宋_GB2312" w:hAnsi="宋体" w:eastAsia="仿宋_GB2312" w:cs="仿宋_GB2312"/>
                <w:color w:val="000000" w:themeColor="text1"/>
                <w:kern w:val="0"/>
                <w:sz w:val="22"/>
                <w:lang w:bidi="ar"/>
                <w14:textFill>
                  <w14:solidFill>
                    <w14:schemeClr w14:val="tx1"/>
                  </w14:solidFill>
                </w14:textFill>
              </w:rPr>
            </w:pPr>
            <w:r>
              <w:rPr>
                <w:rFonts w:hint="eastAsia" w:ascii="仿宋_GB2312" w:hAnsi="宋体" w:eastAsia="仿宋_GB2312" w:cs="仿宋_GB2312"/>
                <w:color w:val="000000" w:themeColor="text1"/>
                <w:kern w:val="0"/>
                <w:sz w:val="22"/>
                <w:lang w:val="en-US" w:eastAsia="zh-CN" w:bidi="ar"/>
                <w14:textFill>
                  <w14:solidFill>
                    <w14:schemeClr w14:val="tx1"/>
                  </w14:solidFill>
                </w14:textFill>
              </w:rPr>
              <w:t>5万元-10万元（含）</w:t>
            </w:r>
          </w:p>
        </w:tc>
        <w:tc>
          <w:tcPr>
            <w:tcW w:w="2384" w:type="dxa"/>
            <w:tcBorders>
              <w:top w:val="single" w:color="72A7BB" w:sz="4" w:space="0"/>
              <w:left w:val="single" w:color="72A7BB" w:sz="4" w:space="0"/>
              <w:bottom w:val="single" w:color="72A7BB" w:sz="4" w:space="0"/>
              <w:right w:val="single" w:color="72A7BB" w:sz="4" w:space="0"/>
            </w:tcBorders>
            <w:shd w:val="clear" w:color="auto" w:fill="F0F0F0"/>
            <w:noWrap/>
            <w:vAlign w:val="center"/>
          </w:tcPr>
          <w:p w14:paraId="1DF9A510">
            <w:pPr>
              <w:widowControl/>
              <w:spacing w:before="100" w:beforeAutospacing="1" w:after="100" w:afterAutospacing="1"/>
              <w:jc w:val="center"/>
              <w:rPr>
                <w:rFonts w:ascii="仿宋_GB2312" w:hAnsi="宋体" w:eastAsia="仿宋_GB2312" w:cs="仿宋_GB2312"/>
                <w:color w:val="000000" w:themeColor="text1"/>
                <w:kern w:val="0"/>
                <w:sz w:val="22"/>
                <w:szCs w:val="2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2"/>
                <w:lang w:val="en-US" w:eastAsia="zh-CN" w:bidi="ar"/>
                <w14:textFill>
                  <w14:solidFill>
                    <w14:schemeClr w14:val="tx1"/>
                  </w14:solidFill>
                </w14:textFill>
              </w:rPr>
              <w:t>65</w:t>
            </w:r>
            <w:r>
              <w:rPr>
                <w:rFonts w:hint="eastAsia" w:ascii="仿宋_GB2312" w:hAnsi="宋体" w:eastAsia="仿宋_GB2312" w:cs="仿宋_GB2312"/>
                <w:color w:val="000000" w:themeColor="text1"/>
                <w:kern w:val="0"/>
                <w:sz w:val="22"/>
                <w:lang w:bidi="ar"/>
                <w14:textFill>
                  <w14:solidFill>
                    <w14:schemeClr w14:val="tx1"/>
                  </w14:solidFill>
                </w14:textFill>
              </w:rPr>
              <w:t>%</w:t>
            </w:r>
          </w:p>
        </w:tc>
        <w:tc>
          <w:tcPr>
            <w:tcW w:w="2281" w:type="dxa"/>
            <w:vMerge w:val="continue"/>
            <w:tcBorders>
              <w:top w:val="single" w:color="72A7BB" w:sz="4" w:space="0"/>
              <w:left w:val="single" w:color="72A7BB" w:sz="4" w:space="0"/>
              <w:bottom w:val="single" w:color="72A7BB" w:sz="4" w:space="0"/>
              <w:right w:val="single" w:color="72A7BB" w:sz="4" w:space="0"/>
            </w:tcBorders>
            <w:shd w:val="clear" w:color="auto" w:fill="F0F0F0"/>
            <w:noWrap/>
            <w:vAlign w:val="center"/>
          </w:tcPr>
          <w:p w14:paraId="1BB23DD8">
            <w:pPr>
              <w:widowControl/>
              <w:jc w:val="center"/>
              <w:rPr>
                <w:rFonts w:ascii="仿宋_GB2312" w:hAnsi="宋体" w:eastAsia="仿宋_GB2312" w:cs="宋体"/>
                <w:color w:val="000000" w:themeColor="text1"/>
                <w:kern w:val="0"/>
                <w:sz w:val="22"/>
                <w14:textFill>
                  <w14:solidFill>
                    <w14:schemeClr w14:val="tx1"/>
                  </w14:solidFill>
                </w14:textFill>
              </w:rPr>
            </w:pPr>
          </w:p>
        </w:tc>
      </w:tr>
      <w:tr w14:paraId="5FB6AA8D">
        <w:tblPrEx>
          <w:tblCellMar>
            <w:top w:w="0" w:type="dxa"/>
            <w:left w:w="108" w:type="dxa"/>
            <w:bottom w:w="0" w:type="dxa"/>
            <w:right w:w="108" w:type="dxa"/>
          </w:tblCellMar>
        </w:tblPrEx>
        <w:trPr>
          <w:trHeight w:val="348" w:hRule="atLeast"/>
        </w:trPr>
        <w:tc>
          <w:tcPr>
            <w:tcW w:w="1192" w:type="dxa"/>
            <w:vMerge w:val="continue"/>
            <w:tcBorders>
              <w:top w:val="single" w:color="72A7BB" w:sz="4" w:space="0"/>
              <w:left w:val="single" w:color="72A7BB" w:sz="4" w:space="0"/>
              <w:bottom w:val="single" w:color="72A7BB" w:sz="4" w:space="0"/>
              <w:right w:val="single" w:color="72A7BB" w:sz="4" w:space="0"/>
            </w:tcBorders>
            <w:shd w:val="clear" w:color="auto" w:fill="FEFEFE"/>
            <w:noWrap/>
            <w:vAlign w:val="center"/>
          </w:tcPr>
          <w:p w14:paraId="12C2E65A">
            <w:pPr>
              <w:widowControl/>
              <w:spacing w:before="100" w:beforeAutospacing="1" w:after="100" w:afterAutospacing="1"/>
              <w:jc w:val="left"/>
              <w:rPr>
                <w:rFonts w:ascii="仿宋_GB2312" w:hAnsi="宋体" w:eastAsia="仿宋_GB2312" w:cs="仿宋_GB2312"/>
                <w:b/>
                <w:bCs/>
                <w:color w:val="000000" w:themeColor="text1"/>
                <w:kern w:val="0"/>
                <w:sz w:val="22"/>
                <w:lang w:bidi="ar"/>
                <w14:textFill>
                  <w14:solidFill>
                    <w14:schemeClr w14:val="tx1"/>
                  </w14:solidFill>
                </w14:textFill>
              </w:rPr>
            </w:pPr>
          </w:p>
        </w:tc>
        <w:tc>
          <w:tcPr>
            <w:tcW w:w="1666" w:type="dxa"/>
            <w:vMerge w:val="continue"/>
            <w:tcBorders>
              <w:left w:val="single" w:color="72A7BB" w:sz="4" w:space="0"/>
              <w:right w:val="single" w:color="72A7BB" w:sz="4" w:space="0"/>
            </w:tcBorders>
            <w:shd w:val="clear" w:color="auto" w:fill="F0F0F0"/>
            <w:noWrap/>
            <w:vAlign w:val="center"/>
          </w:tcPr>
          <w:p w14:paraId="33E80D76">
            <w:pPr>
              <w:widowControl/>
              <w:spacing w:before="100" w:beforeAutospacing="1" w:after="100" w:afterAutospacing="1"/>
              <w:jc w:val="center"/>
              <w:rPr>
                <w:rFonts w:ascii="仿宋_GB2312" w:hAnsi="宋体" w:eastAsia="仿宋_GB2312" w:cs="仿宋_GB2312"/>
                <w:color w:val="000000" w:themeColor="text1"/>
                <w:kern w:val="0"/>
                <w:sz w:val="22"/>
                <w:lang w:bidi="ar"/>
                <w14:textFill>
                  <w14:solidFill>
                    <w14:schemeClr w14:val="tx1"/>
                  </w14:solidFill>
                </w14:textFill>
              </w:rPr>
            </w:pPr>
          </w:p>
        </w:tc>
        <w:tc>
          <w:tcPr>
            <w:tcW w:w="2800" w:type="dxa"/>
            <w:tcBorders>
              <w:top w:val="single" w:color="72A7BB" w:sz="4" w:space="0"/>
              <w:left w:val="single" w:color="72A7BB" w:sz="4" w:space="0"/>
              <w:bottom w:val="single" w:color="72A7BB" w:sz="4" w:space="0"/>
              <w:right w:val="single" w:color="72A7BB" w:sz="4" w:space="0"/>
            </w:tcBorders>
            <w:shd w:val="clear" w:color="auto" w:fill="FEFEFE"/>
            <w:noWrap/>
            <w:vAlign w:val="center"/>
          </w:tcPr>
          <w:p w14:paraId="5D654230">
            <w:pPr>
              <w:widowControl/>
              <w:spacing w:before="100" w:beforeAutospacing="1" w:after="100" w:afterAutospacing="1"/>
              <w:jc w:val="center"/>
              <w:rPr>
                <w:rFonts w:ascii="仿宋_GB2312" w:hAnsi="宋体" w:eastAsia="仿宋_GB2312" w:cs="仿宋_GB2312"/>
                <w:color w:val="000000" w:themeColor="text1"/>
                <w:kern w:val="0"/>
                <w:sz w:val="22"/>
                <w:lang w:bidi="ar"/>
                <w14:textFill>
                  <w14:solidFill>
                    <w14:schemeClr w14:val="tx1"/>
                  </w14:solidFill>
                </w14:textFill>
              </w:rPr>
            </w:pPr>
            <w:r>
              <w:rPr>
                <w:rFonts w:hint="eastAsia" w:ascii="仿宋_GB2312" w:hAnsi="宋体" w:eastAsia="仿宋_GB2312" w:cs="仿宋_GB2312"/>
                <w:color w:val="000000" w:themeColor="text1"/>
                <w:kern w:val="0"/>
                <w:sz w:val="22"/>
                <w:lang w:val="en-US" w:eastAsia="zh-CN" w:bidi="ar"/>
                <w14:textFill>
                  <w14:solidFill>
                    <w14:schemeClr w14:val="tx1"/>
                  </w14:solidFill>
                </w14:textFill>
              </w:rPr>
              <w:t>10万元20万元（含）</w:t>
            </w:r>
          </w:p>
        </w:tc>
        <w:tc>
          <w:tcPr>
            <w:tcW w:w="2384" w:type="dxa"/>
            <w:tcBorders>
              <w:top w:val="single" w:color="72A7BB" w:sz="4" w:space="0"/>
              <w:left w:val="single" w:color="72A7BB" w:sz="4" w:space="0"/>
              <w:bottom w:val="single" w:color="72A7BB" w:sz="4" w:space="0"/>
              <w:right w:val="single" w:color="72A7BB" w:sz="4" w:space="0"/>
            </w:tcBorders>
            <w:shd w:val="clear" w:color="auto" w:fill="F0F0F0"/>
            <w:noWrap/>
            <w:vAlign w:val="center"/>
          </w:tcPr>
          <w:p w14:paraId="69EFF42D">
            <w:pPr>
              <w:widowControl/>
              <w:spacing w:before="100" w:beforeAutospacing="1" w:after="100" w:afterAutospacing="1"/>
              <w:jc w:val="center"/>
              <w:rPr>
                <w:rFonts w:hint="default" w:ascii="仿宋_GB2312" w:hAnsi="宋体" w:eastAsia="仿宋_GB2312" w:cs="仿宋_GB2312"/>
                <w:color w:val="000000" w:themeColor="text1"/>
                <w:kern w:val="0"/>
                <w:sz w:val="22"/>
                <w:szCs w:val="2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2"/>
                <w:lang w:val="en-US" w:eastAsia="zh-CN" w:bidi="ar"/>
                <w14:textFill>
                  <w14:solidFill>
                    <w14:schemeClr w14:val="tx1"/>
                  </w14:solidFill>
                </w14:textFill>
              </w:rPr>
              <w:t>75%</w:t>
            </w:r>
          </w:p>
        </w:tc>
        <w:tc>
          <w:tcPr>
            <w:tcW w:w="2281" w:type="dxa"/>
            <w:vMerge w:val="continue"/>
            <w:tcBorders>
              <w:top w:val="single" w:color="72A7BB" w:sz="4" w:space="0"/>
              <w:left w:val="single" w:color="72A7BB" w:sz="4" w:space="0"/>
              <w:bottom w:val="single" w:color="72A7BB" w:sz="4" w:space="0"/>
              <w:right w:val="single" w:color="72A7BB" w:sz="4" w:space="0"/>
            </w:tcBorders>
            <w:shd w:val="clear" w:color="auto" w:fill="F0F0F0"/>
            <w:noWrap/>
            <w:vAlign w:val="center"/>
          </w:tcPr>
          <w:p w14:paraId="27636AEA">
            <w:pPr>
              <w:widowControl/>
              <w:jc w:val="center"/>
              <w:rPr>
                <w:rFonts w:ascii="仿宋_GB2312" w:hAnsi="宋体" w:eastAsia="仿宋_GB2312" w:cs="宋体"/>
                <w:color w:val="000000" w:themeColor="text1"/>
                <w:kern w:val="0"/>
                <w:sz w:val="22"/>
                <w14:textFill>
                  <w14:solidFill>
                    <w14:schemeClr w14:val="tx1"/>
                  </w14:solidFill>
                </w14:textFill>
              </w:rPr>
            </w:pPr>
          </w:p>
        </w:tc>
      </w:tr>
      <w:tr w14:paraId="1914D0B6">
        <w:tblPrEx>
          <w:tblCellMar>
            <w:top w:w="0" w:type="dxa"/>
            <w:left w:w="108" w:type="dxa"/>
            <w:bottom w:w="0" w:type="dxa"/>
            <w:right w:w="108" w:type="dxa"/>
          </w:tblCellMar>
        </w:tblPrEx>
        <w:trPr>
          <w:trHeight w:val="90" w:hRule="atLeast"/>
        </w:trPr>
        <w:tc>
          <w:tcPr>
            <w:tcW w:w="1192" w:type="dxa"/>
            <w:vMerge w:val="continue"/>
            <w:tcBorders>
              <w:top w:val="single" w:color="72A7BB" w:sz="4" w:space="0"/>
              <w:left w:val="single" w:color="72A7BB" w:sz="4" w:space="0"/>
              <w:bottom w:val="single" w:color="72A7BB" w:sz="4" w:space="0"/>
              <w:right w:val="single" w:color="72A7BB" w:sz="4" w:space="0"/>
            </w:tcBorders>
            <w:shd w:val="clear" w:color="auto" w:fill="FEFEFE"/>
            <w:noWrap/>
            <w:vAlign w:val="center"/>
          </w:tcPr>
          <w:p w14:paraId="7E02A91B">
            <w:pPr>
              <w:widowControl/>
              <w:spacing w:before="100" w:beforeAutospacing="1" w:after="100" w:afterAutospacing="1"/>
              <w:jc w:val="left"/>
              <w:rPr>
                <w:rFonts w:ascii="仿宋_GB2312" w:hAnsi="宋体" w:eastAsia="仿宋_GB2312" w:cs="仿宋_GB2312"/>
                <w:b/>
                <w:bCs/>
                <w:color w:val="000000" w:themeColor="text1"/>
                <w:kern w:val="0"/>
                <w:sz w:val="22"/>
                <w:lang w:bidi="ar"/>
                <w14:textFill>
                  <w14:solidFill>
                    <w14:schemeClr w14:val="tx1"/>
                  </w14:solidFill>
                </w14:textFill>
              </w:rPr>
            </w:pPr>
          </w:p>
        </w:tc>
        <w:tc>
          <w:tcPr>
            <w:tcW w:w="1666" w:type="dxa"/>
            <w:vMerge w:val="continue"/>
            <w:tcBorders>
              <w:left w:val="single" w:color="72A7BB" w:sz="4" w:space="0"/>
              <w:bottom w:val="single" w:color="72A7BB" w:sz="4" w:space="0"/>
              <w:right w:val="single" w:color="72A7BB" w:sz="4" w:space="0"/>
            </w:tcBorders>
            <w:shd w:val="clear" w:color="auto" w:fill="F0F0F0"/>
            <w:noWrap/>
            <w:vAlign w:val="center"/>
          </w:tcPr>
          <w:p w14:paraId="1E8F59E5">
            <w:pPr>
              <w:widowControl/>
              <w:spacing w:before="100" w:beforeAutospacing="1" w:after="100" w:afterAutospacing="1"/>
              <w:jc w:val="center"/>
              <w:rPr>
                <w:rFonts w:ascii="仿宋_GB2312" w:hAnsi="宋体" w:eastAsia="仿宋_GB2312" w:cs="仿宋_GB2312"/>
                <w:color w:val="000000" w:themeColor="text1"/>
                <w:kern w:val="0"/>
                <w:sz w:val="22"/>
                <w:lang w:bidi="ar"/>
                <w14:textFill>
                  <w14:solidFill>
                    <w14:schemeClr w14:val="tx1"/>
                  </w14:solidFill>
                </w14:textFill>
              </w:rPr>
            </w:pPr>
          </w:p>
        </w:tc>
        <w:tc>
          <w:tcPr>
            <w:tcW w:w="2800" w:type="dxa"/>
            <w:tcBorders>
              <w:top w:val="single" w:color="72A7BB" w:sz="4" w:space="0"/>
              <w:left w:val="single" w:color="72A7BB" w:sz="4" w:space="0"/>
              <w:bottom w:val="single" w:color="72A7BB" w:sz="4" w:space="0"/>
              <w:right w:val="single" w:color="72A7BB" w:sz="4" w:space="0"/>
            </w:tcBorders>
            <w:shd w:val="clear" w:color="auto" w:fill="FEFEFE"/>
            <w:noWrap/>
            <w:vAlign w:val="center"/>
          </w:tcPr>
          <w:p w14:paraId="37E9C2AB">
            <w:pPr>
              <w:widowControl/>
              <w:spacing w:before="100" w:beforeAutospacing="1" w:after="100" w:afterAutospacing="1"/>
              <w:jc w:val="center"/>
              <w:rPr>
                <w:rFonts w:hint="default" w:ascii="仿宋_GB2312" w:hAnsi="宋体" w:eastAsia="仿宋_GB2312" w:cs="仿宋_GB2312"/>
                <w:color w:val="000000" w:themeColor="text1"/>
                <w:kern w:val="0"/>
                <w:sz w:val="22"/>
                <w:lang w:val="en-US" w:bidi="ar"/>
                <w14:textFill>
                  <w14:solidFill>
                    <w14:schemeClr w14:val="tx1"/>
                  </w14:solidFill>
                </w14:textFill>
              </w:rPr>
            </w:pPr>
            <w:r>
              <w:rPr>
                <w:rFonts w:hint="eastAsia" w:ascii="仿宋_GB2312" w:hAnsi="宋体" w:eastAsia="仿宋_GB2312" w:cs="仿宋_GB2312"/>
                <w:color w:val="000000" w:themeColor="text1"/>
                <w:kern w:val="0"/>
                <w:sz w:val="22"/>
                <w:lang w:val="en-US" w:eastAsia="zh-CN" w:bidi="ar"/>
                <w14:textFill>
                  <w14:solidFill>
                    <w14:schemeClr w14:val="tx1"/>
                  </w14:solidFill>
                </w14:textFill>
              </w:rPr>
              <w:t>20万元以上</w:t>
            </w:r>
          </w:p>
        </w:tc>
        <w:tc>
          <w:tcPr>
            <w:tcW w:w="2384" w:type="dxa"/>
            <w:tcBorders>
              <w:top w:val="single" w:color="72A7BB" w:sz="4" w:space="0"/>
              <w:left w:val="single" w:color="72A7BB" w:sz="4" w:space="0"/>
              <w:bottom w:val="single" w:color="72A7BB" w:sz="4" w:space="0"/>
              <w:right w:val="single" w:color="72A7BB" w:sz="4" w:space="0"/>
            </w:tcBorders>
            <w:shd w:val="clear" w:color="auto" w:fill="F0F0F0"/>
            <w:noWrap/>
            <w:vAlign w:val="center"/>
          </w:tcPr>
          <w:p w14:paraId="230F0C43">
            <w:pPr>
              <w:widowControl/>
              <w:spacing w:before="100" w:beforeAutospacing="1" w:after="100" w:afterAutospacing="1"/>
              <w:jc w:val="center"/>
              <w:rPr>
                <w:rFonts w:ascii="仿宋_GB2312" w:hAnsi="宋体" w:eastAsia="仿宋_GB2312" w:cs="仿宋_GB2312"/>
                <w:color w:val="000000" w:themeColor="text1"/>
                <w:kern w:val="0"/>
                <w:sz w:val="22"/>
                <w:szCs w:val="22"/>
                <w:lang w:val="en-US" w:eastAsia="zh-CN" w:bidi="ar"/>
                <w14:textFill>
                  <w14:solidFill>
                    <w14:schemeClr w14:val="tx1"/>
                  </w14:solidFill>
                </w14:textFill>
              </w:rPr>
            </w:pPr>
            <w:r>
              <w:rPr>
                <w:rFonts w:hint="eastAsia" w:ascii="仿宋_GB2312" w:hAnsi="宋体" w:eastAsia="仿宋_GB2312" w:cs="仿宋_GB2312"/>
                <w:color w:val="000000" w:themeColor="text1"/>
                <w:kern w:val="0"/>
                <w:sz w:val="22"/>
                <w:lang w:bidi="ar"/>
                <w14:textFill>
                  <w14:solidFill>
                    <w14:schemeClr w14:val="tx1"/>
                  </w14:solidFill>
                </w14:textFill>
              </w:rPr>
              <w:t>8</w:t>
            </w:r>
            <w:r>
              <w:rPr>
                <w:rFonts w:hint="eastAsia" w:ascii="仿宋_GB2312" w:hAnsi="宋体" w:eastAsia="仿宋_GB2312" w:cs="仿宋_GB2312"/>
                <w:color w:val="000000" w:themeColor="text1"/>
                <w:kern w:val="0"/>
                <w:sz w:val="22"/>
                <w:lang w:val="en-US" w:eastAsia="zh-CN" w:bidi="ar"/>
                <w14:textFill>
                  <w14:solidFill>
                    <w14:schemeClr w14:val="tx1"/>
                  </w14:solidFill>
                </w14:textFill>
              </w:rPr>
              <w:t>0</w:t>
            </w:r>
            <w:r>
              <w:rPr>
                <w:rFonts w:hint="eastAsia" w:ascii="仿宋_GB2312" w:hAnsi="宋体" w:eastAsia="仿宋_GB2312" w:cs="仿宋_GB2312"/>
                <w:color w:val="000000" w:themeColor="text1"/>
                <w:kern w:val="0"/>
                <w:sz w:val="22"/>
                <w:lang w:bidi="ar"/>
                <w14:textFill>
                  <w14:solidFill>
                    <w14:schemeClr w14:val="tx1"/>
                  </w14:solidFill>
                </w14:textFill>
              </w:rPr>
              <w:t>%</w:t>
            </w:r>
          </w:p>
        </w:tc>
        <w:tc>
          <w:tcPr>
            <w:tcW w:w="2281" w:type="dxa"/>
            <w:vMerge w:val="continue"/>
            <w:tcBorders>
              <w:top w:val="single" w:color="72A7BB" w:sz="4" w:space="0"/>
              <w:left w:val="single" w:color="72A7BB" w:sz="4" w:space="0"/>
              <w:bottom w:val="single" w:color="72A7BB" w:sz="4" w:space="0"/>
              <w:right w:val="single" w:color="72A7BB" w:sz="4" w:space="0"/>
            </w:tcBorders>
            <w:shd w:val="clear" w:color="auto" w:fill="F0F0F0"/>
            <w:noWrap/>
            <w:vAlign w:val="center"/>
          </w:tcPr>
          <w:p w14:paraId="4423BA2B">
            <w:pPr>
              <w:widowControl/>
              <w:jc w:val="center"/>
              <w:rPr>
                <w:rFonts w:ascii="仿宋_GB2312" w:hAnsi="宋体" w:eastAsia="仿宋_GB2312" w:cs="宋体"/>
                <w:color w:val="000000" w:themeColor="text1"/>
                <w:kern w:val="0"/>
                <w:sz w:val="22"/>
                <w14:textFill>
                  <w14:solidFill>
                    <w14:schemeClr w14:val="tx1"/>
                  </w14:solidFill>
                </w14:textFill>
              </w:rPr>
            </w:pPr>
          </w:p>
        </w:tc>
      </w:tr>
    </w:tbl>
    <w:p w14:paraId="7A35C7F1">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eastAsia="仿宋_GB2312"/>
          <w:color w:val="000000" w:themeColor="text1"/>
          <w:sz w:val="32"/>
          <w:lang w:val="en-US" w:eastAsia="zh-CN"/>
          <w14:textFill>
            <w14:solidFill>
              <w14:schemeClr w14:val="tx1"/>
            </w14:solidFill>
          </w14:textFill>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ind w:left="432" w:hanging="432"/>
      </w:pPr>
      <w:rPr>
        <w:rFonts w:hint="default"/>
      </w:rPr>
    </w:lvl>
    <w:lvl w:ilvl="1" w:tentative="0">
      <w:start w:val="1"/>
      <w:numFmt w:val="decimal"/>
      <w:pStyle w:val="2"/>
      <w:lvlText w:val="%1.%2."/>
      <w:lvlJc w:val="left"/>
      <w:pPr>
        <w:ind w:left="575" w:hanging="575"/>
      </w:pPr>
      <w:rPr>
        <w:rFonts w:hint="default" w:ascii="宋体" w:hAnsi="宋体" w:eastAsia="宋体" w:cs="宋体"/>
      </w:rPr>
    </w:lvl>
    <w:lvl w:ilvl="2" w:tentative="0">
      <w:start w:val="1"/>
      <w:numFmt w:val="decimal"/>
      <w:lvlText w:val="%1.%2.%3."/>
      <w:lvlJc w:val="left"/>
      <w:pPr>
        <w:ind w:left="720" w:hanging="720"/>
      </w:pPr>
      <w:rPr>
        <w:rFonts w:hint="default" w:ascii="宋体" w:hAnsi="宋体" w:eastAsia="宋体" w:cs="宋体"/>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2E32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2"/>
    <w:basedOn w:val="1"/>
    <w:next w:val="1"/>
    <w:qFormat/>
    <w:uiPriority w:val="0"/>
    <w:pPr>
      <w:keepNext/>
      <w:keepLines/>
      <w:numPr>
        <w:ilvl w:val="1"/>
        <w:numId w:val="1"/>
      </w:numPr>
      <w:spacing w:before="260" w:after="260" w:line="413" w:lineRule="auto"/>
      <w:outlineLvl w:val="1"/>
    </w:pPr>
    <w:rPr>
      <w:rFonts w:ascii="Arial" w:hAnsi="Arial"/>
      <w:b/>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2025-01-14T07:38:00Z</dcterms:created>
  <dc:creator>YBB</dc:creator>
  <cp:lastModifiedBy>大眼睛</cp:lastModifiedBy>
  <dcterms:modified xsi:type="dcterms:W3CDTF">2025-01-14T07:58:19Z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eyJoZGlkIjoiMGM4NTE5NGQwMmY1Y2U3NGYzMTIyN2IxNWMxNGU3ZTUiLCJ1c2VySWQiOiIzMjAxMDkxNjMifQ==</vt:lpwstr>
  </property>
  <property fmtid="{D5CDD505-2E9C-101B-9397-08002B2CF9AE}" pid="4" name="ICV">
    <vt:lpwstr>58D223102F194DFDA08E9D8C7D427094_12</vt:lpwstr>
  </property>
</Properties>
</file>