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7BF57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40" w:lineRule="atLeast"/>
        <w:ind w:left="0" w:right="0" w:firstLine="640"/>
        <w:jc w:val="center"/>
        <w:rPr>
          <w:rFonts w:hint="eastAsia" w:ascii="Calibri" w:hAnsi="Calibri" w:eastAsia="黑体" w:cs="Calibri"/>
          <w:i w:val="0"/>
          <w:iCs w:val="0"/>
          <w:caps w:val="0"/>
          <w:color w:val="333333"/>
          <w:spacing w:val="0"/>
          <w:sz w:val="21"/>
          <w:szCs w:val="21"/>
          <w:lang w:eastAsia="zh-CN"/>
        </w:rPr>
      </w:pPr>
      <w:r>
        <w:rPr>
          <w:rFonts w:ascii="黑体" w:hAnsi="宋体" w:eastAsia="黑体" w:cs="黑体"/>
          <w:i w:val="0"/>
          <w:iCs w:val="0"/>
          <w:caps w:val="0"/>
          <w:color w:val="616785"/>
          <w:spacing w:val="0"/>
          <w:sz w:val="52"/>
          <w:szCs w:val="52"/>
          <w:bdr w:val="none" w:color="auto" w:sz="0" w:space="0"/>
          <w:shd w:val="clear" w:fill="FFFFFF"/>
        </w:rPr>
        <w:t>异地就医</w:t>
      </w:r>
      <w:r>
        <w:rPr>
          <w:rFonts w:hint="eastAsia" w:ascii="黑体" w:hAnsi="宋体" w:eastAsia="黑体" w:cs="黑体"/>
          <w:i w:val="0"/>
          <w:iCs w:val="0"/>
          <w:caps w:val="0"/>
          <w:color w:val="616785"/>
          <w:spacing w:val="0"/>
          <w:sz w:val="52"/>
          <w:szCs w:val="52"/>
          <w:bdr w:val="none" w:color="auto" w:sz="0" w:space="0"/>
          <w:shd w:val="clear" w:fill="FFFFFF"/>
          <w:lang w:eastAsia="zh-CN"/>
        </w:rPr>
        <w:t>政策</w:t>
      </w:r>
    </w:p>
    <w:p w14:paraId="740C7D6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60" w:lineRule="atLeast"/>
        <w:ind w:left="0" w:right="0" w:firstLine="640"/>
        <w:jc w:val="both"/>
        <w:rPr>
          <w:rFonts w:hint="default" w:ascii="Calibri" w:hAnsi="Calibri" w:cs="Calibri"/>
          <w:i w:val="0"/>
          <w:iCs w:val="0"/>
          <w:caps w:val="0"/>
          <w:color w:val="333333"/>
          <w:spacing w:val="0"/>
          <w:sz w:val="24"/>
          <w:szCs w:val="24"/>
        </w:rPr>
      </w:pPr>
      <w:r>
        <w:rPr>
          <w:rFonts w:hint="eastAsia" w:ascii="黑体" w:hAnsi="宋体" w:eastAsia="黑体" w:cs="黑体"/>
          <w:i w:val="0"/>
          <w:iCs w:val="0"/>
          <w:caps w:val="0"/>
          <w:color w:val="333333"/>
          <w:spacing w:val="0"/>
          <w:sz w:val="32"/>
          <w:szCs w:val="32"/>
          <w:bdr w:val="none" w:color="auto" w:sz="0" w:space="0"/>
          <w:shd w:val="clear" w:fill="FFFFFF"/>
        </w:rPr>
        <w:t>一、到蚌埠市以外的医院就诊或药店购药时，需要异地就医备案吗？</w:t>
      </w:r>
    </w:p>
    <w:p w14:paraId="5E1C5B5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40" w:lineRule="atLeast"/>
        <w:ind w:left="0" w:right="0" w:firstLine="640"/>
        <w:jc w:val="both"/>
        <w:rPr>
          <w:rFonts w:hint="default" w:ascii="Times New Roman" w:hAnsi="Times New Roman" w:cs="Times New Roman"/>
          <w:i w:val="0"/>
          <w:iCs w:val="0"/>
          <w:caps w:val="0"/>
          <w:color w:val="333333"/>
          <w:spacing w:val="0"/>
          <w:sz w:val="21"/>
          <w:szCs w:val="21"/>
        </w:rPr>
      </w:pPr>
      <w:r>
        <w:rPr>
          <w:rFonts w:ascii="仿宋" w:hAnsi="仿宋" w:eastAsia="仿宋" w:cs="仿宋"/>
          <w:i w:val="0"/>
          <w:iCs w:val="0"/>
          <w:caps w:val="0"/>
          <w:color w:val="333333"/>
          <w:spacing w:val="0"/>
          <w:sz w:val="32"/>
          <w:szCs w:val="32"/>
          <w:bdr w:val="none" w:color="auto" w:sz="0" w:space="0"/>
          <w:shd w:val="clear" w:fill="FFFFFF"/>
        </w:rPr>
        <w:t>（一）</w:t>
      </w:r>
      <w:r>
        <w:rPr>
          <w:rFonts w:hint="eastAsia" w:ascii="仿宋" w:hAnsi="仿宋" w:eastAsia="仿宋" w:cs="仿宋"/>
          <w:i w:val="0"/>
          <w:iCs w:val="0"/>
          <w:caps w:val="0"/>
          <w:color w:val="333333"/>
          <w:spacing w:val="0"/>
          <w:sz w:val="32"/>
          <w:szCs w:val="32"/>
          <w:bdr w:val="none" w:color="auto" w:sz="0" w:space="0"/>
          <w:shd w:val="clear" w:fill="FFFFFF"/>
        </w:rPr>
        <w:t>异地医院就诊，参保人员需向参保地医保中心进行异地就医备案。省内异地就医“其他临时外出就医人员”实行免备案。</w:t>
      </w:r>
    </w:p>
    <w:p w14:paraId="2B19938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40" w:lineRule="atLeast"/>
        <w:ind w:left="0" w:right="0" w:firstLine="640"/>
        <w:jc w:val="both"/>
        <w:rPr>
          <w:rFonts w:hint="default" w:ascii="Times New Roman" w:hAnsi="Times New Roman" w:cs="Times New Roman"/>
          <w:i w:val="0"/>
          <w:iCs w:val="0"/>
          <w:caps w:val="0"/>
          <w:color w:val="333333"/>
          <w:spacing w:val="0"/>
          <w:sz w:val="21"/>
          <w:szCs w:val="21"/>
        </w:rPr>
      </w:pPr>
      <w:r>
        <w:rPr>
          <w:rFonts w:hint="eastAsia" w:ascii="仿宋" w:hAnsi="仿宋" w:eastAsia="仿宋" w:cs="仿宋"/>
          <w:i w:val="0"/>
          <w:iCs w:val="0"/>
          <w:caps w:val="0"/>
          <w:color w:val="333333"/>
          <w:spacing w:val="0"/>
          <w:sz w:val="32"/>
          <w:szCs w:val="32"/>
          <w:bdr w:val="none" w:color="auto" w:sz="0" w:space="0"/>
          <w:shd w:val="clear" w:fill="FFFFFF"/>
        </w:rPr>
        <w:t>温馨提示：仅使用医保个人账户无需备案，可直接联网结算。</w:t>
      </w:r>
    </w:p>
    <w:p w14:paraId="531A009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40" w:lineRule="atLeast"/>
        <w:ind w:left="0" w:right="0" w:firstLine="640"/>
        <w:jc w:val="both"/>
        <w:rPr>
          <w:rFonts w:hint="default" w:ascii="Times New Roman" w:hAnsi="Times New Roman" w:cs="Times New Roman"/>
          <w:i w:val="0"/>
          <w:iCs w:val="0"/>
          <w:caps w:val="0"/>
          <w:color w:val="333333"/>
          <w:spacing w:val="0"/>
          <w:sz w:val="21"/>
          <w:szCs w:val="21"/>
        </w:rPr>
      </w:pPr>
      <w:r>
        <w:rPr>
          <w:rFonts w:hint="eastAsia" w:ascii="仿宋" w:hAnsi="仿宋" w:eastAsia="仿宋" w:cs="仿宋"/>
          <w:i w:val="0"/>
          <w:iCs w:val="0"/>
          <w:caps w:val="0"/>
          <w:color w:val="333333"/>
          <w:spacing w:val="0"/>
          <w:sz w:val="32"/>
          <w:szCs w:val="32"/>
          <w:bdr w:val="none" w:color="auto" w:sz="0" w:space="0"/>
          <w:shd w:val="clear" w:fill="FFFFFF"/>
        </w:rPr>
        <w:t>（二）异地药店购药，无需异地就医备案，不受险种及参保状态等限制，只要个人账户有余额，均可以在省内、跨省任意一家异地联网定点零售药店使用社会保障卡或医保电子凭证结算。</w:t>
      </w:r>
    </w:p>
    <w:p w14:paraId="2044506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40" w:lineRule="atLeast"/>
        <w:ind w:left="0" w:right="0" w:firstLine="640"/>
        <w:jc w:val="both"/>
        <w:rPr>
          <w:rFonts w:hint="default" w:ascii="Calibri" w:hAnsi="Calibri" w:cs="Calibri"/>
          <w:i w:val="0"/>
          <w:iCs w:val="0"/>
          <w:caps w:val="0"/>
          <w:color w:val="333333"/>
          <w:spacing w:val="0"/>
          <w:sz w:val="21"/>
          <w:szCs w:val="21"/>
        </w:rPr>
      </w:pPr>
      <w:r>
        <w:rPr>
          <w:rFonts w:hint="eastAsia" w:ascii="黑体" w:hAnsi="宋体" w:eastAsia="黑体" w:cs="黑体"/>
          <w:i w:val="0"/>
          <w:iCs w:val="0"/>
          <w:caps w:val="0"/>
          <w:color w:val="333333"/>
          <w:spacing w:val="0"/>
          <w:sz w:val="32"/>
          <w:szCs w:val="32"/>
          <w:bdr w:val="none" w:color="auto" w:sz="0" w:space="0"/>
          <w:shd w:val="clear" w:fill="FFFFFF"/>
        </w:rPr>
        <w:t>二、异地就医备案的类型有哪些？</w:t>
      </w:r>
    </w:p>
    <w:p w14:paraId="0C37D77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40" w:lineRule="atLeast"/>
        <w:ind w:left="0" w:right="0" w:firstLine="640"/>
        <w:jc w:val="both"/>
        <w:rPr>
          <w:rFonts w:hint="default" w:ascii="Times New Roman" w:hAnsi="Times New Roman" w:cs="Times New Roman"/>
          <w:i w:val="0"/>
          <w:iCs w:val="0"/>
          <w:caps w:val="0"/>
          <w:color w:val="333333"/>
          <w:spacing w:val="0"/>
          <w:sz w:val="21"/>
          <w:szCs w:val="21"/>
        </w:rPr>
      </w:pPr>
      <w:r>
        <w:rPr>
          <w:rFonts w:hint="eastAsia" w:ascii="仿宋" w:hAnsi="仿宋" w:eastAsia="仿宋" w:cs="仿宋"/>
          <w:i w:val="0"/>
          <w:iCs w:val="0"/>
          <w:caps w:val="0"/>
          <w:color w:val="333333"/>
          <w:spacing w:val="0"/>
          <w:sz w:val="32"/>
          <w:szCs w:val="32"/>
          <w:bdr w:val="none" w:color="auto" w:sz="0" w:space="0"/>
          <w:shd w:val="clear" w:fill="FFFFFF"/>
        </w:rPr>
        <w:t>参加基本医疗保险的下列人员，可以申请办理异地就医备案。</w:t>
      </w:r>
    </w:p>
    <w:p w14:paraId="226681A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40" w:lineRule="atLeast"/>
        <w:ind w:left="0" w:right="0" w:firstLine="640"/>
        <w:jc w:val="both"/>
        <w:rPr>
          <w:rFonts w:hint="default" w:ascii="Times New Roman" w:hAnsi="Times New Roman" w:cs="Times New Roman"/>
          <w:i w:val="0"/>
          <w:iCs w:val="0"/>
          <w:caps w:val="0"/>
          <w:color w:val="333333"/>
          <w:spacing w:val="0"/>
          <w:sz w:val="21"/>
          <w:szCs w:val="21"/>
        </w:rPr>
      </w:pPr>
      <w:r>
        <w:rPr>
          <w:rFonts w:hint="eastAsia" w:ascii="仿宋" w:hAnsi="仿宋" w:eastAsia="仿宋" w:cs="仿宋"/>
          <w:i w:val="0"/>
          <w:iCs w:val="0"/>
          <w:caps w:val="0"/>
          <w:color w:val="333333"/>
          <w:spacing w:val="0"/>
          <w:sz w:val="32"/>
          <w:szCs w:val="32"/>
          <w:bdr w:val="none" w:color="auto" w:sz="0" w:space="0"/>
          <w:shd w:val="clear" w:fill="FFFFFF"/>
        </w:rPr>
        <w:t>1.异地安置退休人员：指退休后在异地生活且户口已转入居住地的参保人员。</w:t>
      </w:r>
    </w:p>
    <w:p w14:paraId="641DDA9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40" w:lineRule="atLeast"/>
        <w:ind w:left="0" w:right="0" w:firstLine="640"/>
        <w:jc w:val="both"/>
        <w:rPr>
          <w:rFonts w:hint="default" w:ascii="Times New Roman" w:hAnsi="Times New Roman" w:cs="Times New Roman"/>
          <w:i w:val="0"/>
          <w:iCs w:val="0"/>
          <w:caps w:val="0"/>
          <w:color w:val="333333"/>
          <w:spacing w:val="0"/>
          <w:sz w:val="21"/>
          <w:szCs w:val="21"/>
        </w:rPr>
      </w:pPr>
      <w:r>
        <w:rPr>
          <w:rFonts w:hint="eastAsia" w:ascii="仿宋" w:hAnsi="仿宋" w:eastAsia="仿宋" w:cs="仿宋"/>
          <w:i w:val="0"/>
          <w:iCs w:val="0"/>
          <w:caps w:val="0"/>
          <w:color w:val="333333"/>
          <w:spacing w:val="0"/>
          <w:sz w:val="32"/>
          <w:szCs w:val="32"/>
          <w:bdr w:val="none" w:color="auto" w:sz="0" w:space="0"/>
          <w:shd w:val="clear" w:fill="FFFFFF"/>
        </w:rPr>
        <w:t>2.异地长期居住人员：指长期在异地居住生活且符合参保地规定的人员。</w:t>
      </w:r>
    </w:p>
    <w:p w14:paraId="3E7B1D5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40" w:lineRule="atLeast"/>
        <w:ind w:left="0" w:right="0" w:firstLine="640"/>
        <w:jc w:val="both"/>
        <w:rPr>
          <w:rFonts w:hint="default" w:ascii="Times New Roman" w:hAnsi="Times New Roman" w:cs="Times New Roman"/>
          <w:i w:val="0"/>
          <w:iCs w:val="0"/>
          <w:caps w:val="0"/>
          <w:color w:val="333333"/>
          <w:spacing w:val="0"/>
          <w:sz w:val="21"/>
          <w:szCs w:val="21"/>
        </w:rPr>
      </w:pPr>
      <w:r>
        <w:rPr>
          <w:rFonts w:hint="eastAsia" w:ascii="仿宋" w:hAnsi="仿宋" w:eastAsia="仿宋" w:cs="仿宋"/>
          <w:i w:val="0"/>
          <w:iCs w:val="0"/>
          <w:caps w:val="0"/>
          <w:color w:val="333333"/>
          <w:spacing w:val="0"/>
          <w:sz w:val="32"/>
          <w:szCs w:val="32"/>
          <w:bdr w:val="none" w:color="auto" w:sz="0" w:space="0"/>
          <w:shd w:val="clear" w:fill="FFFFFF"/>
        </w:rPr>
        <w:t>3.常驻异地工作人员：指被用人单位派驻参保统筹地区外长期工作、学习的基本医疗保险参保人员。 </w:t>
      </w:r>
    </w:p>
    <w:p w14:paraId="140DBA8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40" w:lineRule="atLeast"/>
        <w:ind w:left="0" w:right="0" w:firstLine="640"/>
        <w:jc w:val="both"/>
        <w:rPr>
          <w:rFonts w:hint="default" w:ascii="Times New Roman" w:hAnsi="Times New Roman" w:cs="Times New Roman"/>
          <w:i w:val="0"/>
          <w:iCs w:val="0"/>
          <w:caps w:val="0"/>
          <w:color w:val="333333"/>
          <w:spacing w:val="0"/>
          <w:sz w:val="21"/>
          <w:szCs w:val="21"/>
        </w:rPr>
      </w:pPr>
      <w:r>
        <w:rPr>
          <w:rFonts w:hint="eastAsia" w:ascii="仿宋" w:hAnsi="仿宋" w:eastAsia="仿宋" w:cs="仿宋"/>
          <w:i w:val="0"/>
          <w:iCs w:val="0"/>
          <w:caps w:val="0"/>
          <w:color w:val="333333"/>
          <w:spacing w:val="0"/>
          <w:sz w:val="32"/>
          <w:szCs w:val="32"/>
          <w:bdr w:val="none" w:color="auto" w:sz="0" w:space="0"/>
          <w:shd w:val="clear" w:fill="FFFFFF"/>
        </w:rPr>
        <w:t>4.异地转诊就医人员：指因本市医疗技术设备条件所限或因专科疾病，须转往异地就医的人员。</w:t>
      </w:r>
    </w:p>
    <w:p w14:paraId="4933B61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40" w:lineRule="atLeast"/>
        <w:ind w:left="0" w:right="0" w:firstLine="640"/>
        <w:jc w:val="both"/>
        <w:rPr>
          <w:rFonts w:hint="default" w:ascii="Times New Roman" w:hAnsi="Times New Roman" w:cs="Times New Roman"/>
          <w:i w:val="0"/>
          <w:iCs w:val="0"/>
          <w:caps w:val="0"/>
          <w:color w:val="333333"/>
          <w:spacing w:val="0"/>
          <w:sz w:val="21"/>
          <w:szCs w:val="21"/>
        </w:rPr>
      </w:pPr>
      <w:r>
        <w:rPr>
          <w:rFonts w:hint="eastAsia" w:ascii="仿宋" w:hAnsi="仿宋" w:eastAsia="仿宋" w:cs="仿宋"/>
          <w:i w:val="0"/>
          <w:iCs w:val="0"/>
          <w:caps w:val="0"/>
          <w:color w:val="333333"/>
          <w:spacing w:val="0"/>
          <w:sz w:val="32"/>
          <w:szCs w:val="32"/>
          <w:bdr w:val="none" w:color="auto" w:sz="0" w:space="0"/>
          <w:shd w:val="clear" w:fill="FFFFFF"/>
        </w:rPr>
        <w:t>5.其他临时外出就医人员：指异地非急诊抢救或不符合转诊转院条件自行前往异地就医的人员。</w:t>
      </w:r>
    </w:p>
    <w:p w14:paraId="1AECF07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40" w:lineRule="atLeast"/>
        <w:ind w:left="0" w:right="0" w:firstLine="640"/>
        <w:jc w:val="both"/>
        <w:rPr>
          <w:rFonts w:hint="default" w:ascii="Times New Roman" w:hAnsi="Times New Roman" w:cs="Times New Roman"/>
          <w:i w:val="0"/>
          <w:iCs w:val="0"/>
          <w:caps w:val="0"/>
          <w:color w:val="333333"/>
          <w:spacing w:val="0"/>
          <w:sz w:val="21"/>
          <w:szCs w:val="21"/>
        </w:rPr>
      </w:pPr>
      <w:r>
        <w:rPr>
          <w:rFonts w:hint="eastAsia" w:ascii="黑体" w:hAnsi="宋体" w:eastAsia="黑体" w:cs="黑体"/>
          <w:i w:val="0"/>
          <w:iCs w:val="0"/>
          <w:caps w:val="0"/>
          <w:color w:val="333333"/>
          <w:spacing w:val="0"/>
          <w:sz w:val="32"/>
          <w:szCs w:val="32"/>
          <w:bdr w:val="none" w:color="auto" w:sz="0" w:space="0"/>
          <w:shd w:val="clear" w:fill="FFFFFF"/>
        </w:rPr>
        <w:t>三、办理异地就医备案需要提供哪些材料？</w:t>
      </w:r>
    </w:p>
    <w:p w14:paraId="10B37A2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40" w:lineRule="atLeast"/>
        <w:ind w:left="0" w:right="0" w:firstLine="640"/>
        <w:jc w:val="both"/>
        <w:rPr>
          <w:rFonts w:hint="default" w:ascii="Times New Roman" w:hAnsi="Times New Roman" w:cs="Times New Roman"/>
          <w:i w:val="0"/>
          <w:iCs w:val="0"/>
          <w:caps w:val="0"/>
          <w:color w:val="333333"/>
          <w:spacing w:val="0"/>
          <w:sz w:val="21"/>
          <w:szCs w:val="21"/>
        </w:rPr>
      </w:pPr>
      <w:r>
        <w:rPr>
          <w:rFonts w:hint="eastAsia" w:ascii="仿宋" w:hAnsi="仿宋" w:eastAsia="仿宋" w:cs="仿宋"/>
          <w:i w:val="0"/>
          <w:iCs w:val="0"/>
          <w:caps w:val="0"/>
          <w:color w:val="333333"/>
          <w:spacing w:val="0"/>
          <w:sz w:val="32"/>
          <w:szCs w:val="32"/>
          <w:bdr w:val="none" w:color="auto" w:sz="0" w:space="0"/>
          <w:shd w:val="clear" w:fill="FFFFFF"/>
        </w:rPr>
        <w:t>（一）异地安置退休人员备案，需提供以下材料：</w:t>
      </w:r>
    </w:p>
    <w:p w14:paraId="75A754D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40" w:lineRule="atLeast"/>
        <w:ind w:left="0" w:right="0" w:firstLine="640"/>
        <w:jc w:val="both"/>
        <w:rPr>
          <w:rFonts w:hint="default" w:ascii="Times New Roman" w:hAnsi="Times New Roman" w:cs="Times New Roman"/>
          <w:i w:val="0"/>
          <w:iCs w:val="0"/>
          <w:caps w:val="0"/>
          <w:color w:val="333333"/>
          <w:spacing w:val="0"/>
          <w:sz w:val="21"/>
          <w:szCs w:val="21"/>
        </w:rPr>
      </w:pPr>
      <w:r>
        <w:rPr>
          <w:rFonts w:hint="eastAsia" w:ascii="仿宋" w:hAnsi="仿宋" w:eastAsia="仿宋" w:cs="仿宋"/>
          <w:i w:val="0"/>
          <w:iCs w:val="0"/>
          <w:caps w:val="0"/>
          <w:color w:val="333333"/>
          <w:spacing w:val="0"/>
          <w:sz w:val="32"/>
          <w:szCs w:val="32"/>
          <w:bdr w:val="none" w:color="auto" w:sz="0" w:space="0"/>
          <w:shd w:val="clear" w:fill="FFFFFF"/>
        </w:rPr>
        <w:t>1.医保电子凭证、有效身份证件或社会保障卡，任选其一。</w:t>
      </w:r>
    </w:p>
    <w:p w14:paraId="1B70E38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40" w:lineRule="atLeast"/>
        <w:ind w:left="0" w:right="0" w:firstLine="640"/>
        <w:jc w:val="both"/>
        <w:rPr>
          <w:rFonts w:hint="default" w:ascii="Times New Roman" w:hAnsi="Times New Roman" w:cs="Times New Roman"/>
          <w:i w:val="0"/>
          <w:iCs w:val="0"/>
          <w:caps w:val="0"/>
          <w:color w:val="333333"/>
          <w:spacing w:val="0"/>
          <w:sz w:val="21"/>
          <w:szCs w:val="21"/>
        </w:rPr>
      </w:pPr>
      <w:r>
        <w:rPr>
          <w:rFonts w:hint="eastAsia" w:ascii="仿宋" w:hAnsi="仿宋" w:eastAsia="仿宋" w:cs="仿宋"/>
          <w:i w:val="0"/>
          <w:iCs w:val="0"/>
          <w:caps w:val="0"/>
          <w:color w:val="333333"/>
          <w:spacing w:val="0"/>
          <w:sz w:val="32"/>
          <w:szCs w:val="32"/>
          <w:bdr w:val="none" w:color="auto" w:sz="0" w:space="0"/>
          <w:shd w:val="clear" w:fill="FFFFFF"/>
        </w:rPr>
        <w:t>2.异地安置认定材料：居民户口簿（迁入就医地的“户口簿首页”和本人“常住人口登记卡”，或《安徽省跨省异地就医备案个人承诺书》（以下简称个人承诺书）。</w:t>
      </w:r>
    </w:p>
    <w:p w14:paraId="46135EB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40" w:lineRule="atLeast"/>
        <w:ind w:left="0" w:right="0" w:firstLine="640"/>
        <w:jc w:val="both"/>
        <w:rPr>
          <w:rFonts w:hint="default" w:ascii="Times New Roman" w:hAnsi="Times New Roman" w:cs="Times New Roman"/>
          <w:i w:val="0"/>
          <w:iCs w:val="0"/>
          <w:caps w:val="0"/>
          <w:color w:val="333333"/>
          <w:spacing w:val="0"/>
          <w:sz w:val="21"/>
          <w:szCs w:val="21"/>
        </w:rPr>
      </w:pPr>
      <w:r>
        <w:rPr>
          <w:rFonts w:hint="eastAsia" w:ascii="仿宋" w:hAnsi="仿宋" w:eastAsia="仿宋" w:cs="仿宋"/>
          <w:i w:val="0"/>
          <w:iCs w:val="0"/>
          <w:caps w:val="0"/>
          <w:color w:val="333333"/>
          <w:spacing w:val="0"/>
          <w:sz w:val="32"/>
          <w:szCs w:val="32"/>
          <w:bdr w:val="none" w:color="auto" w:sz="0" w:space="0"/>
          <w:shd w:val="clear" w:fill="FFFFFF"/>
        </w:rPr>
        <w:t>（二）异地长期居住人员备案，需提供以下材料：</w:t>
      </w:r>
    </w:p>
    <w:p w14:paraId="4AD2B0C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40" w:lineRule="atLeast"/>
        <w:ind w:left="0" w:right="0" w:firstLine="640"/>
        <w:jc w:val="both"/>
        <w:rPr>
          <w:rFonts w:hint="default" w:ascii="Times New Roman" w:hAnsi="Times New Roman" w:cs="Times New Roman"/>
          <w:i w:val="0"/>
          <w:iCs w:val="0"/>
          <w:caps w:val="0"/>
          <w:color w:val="333333"/>
          <w:spacing w:val="0"/>
          <w:sz w:val="21"/>
          <w:szCs w:val="21"/>
        </w:rPr>
      </w:pPr>
      <w:r>
        <w:rPr>
          <w:rFonts w:hint="eastAsia" w:ascii="仿宋" w:hAnsi="仿宋" w:eastAsia="仿宋" w:cs="仿宋"/>
          <w:i w:val="0"/>
          <w:iCs w:val="0"/>
          <w:caps w:val="0"/>
          <w:color w:val="333333"/>
          <w:spacing w:val="0"/>
          <w:sz w:val="32"/>
          <w:szCs w:val="32"/>
          <w:bdr w:val="none" w:color="auto" w:sz="0" w:space="0"/>
          <w:shd w:val="clear" w:fill="FFFFFF"/>
        </w:rPr>
        <w:t>1.医保电子凭证、有效身份证件或社会保障卡，任选其一。</w:t>
      </w:r>
    </w:p>
    <w:p w14:paraId="78FA15F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40" w:lineRule="atLeast"/>
        <w:ind w:left="0" w:right="0" w:firstLine="640"/>
        <w:jc w:val="both"/>
        <w:rPr>
          <w:rFonts w:hint="default" w:ascii="Times New Roman" w:hAnsi="Times New Roman" w:cs="Times New Roman"/>
          <w:i w:val="0"/>
          <w:iCs w:val="0"/>
          <w:caps w:val="0"/>
          <w:color w:val="333333"/>
          <w:spacing w:val="0"/>
          <w:sz w:val="21"/>
          <w:szCs w:val="21"/>
        </w:rPr>
      </w:pPr>
      <w:r>
        <w:rPr>
          <w:rFonts w:hint="eastAsia" w:ascii="仿宋" w:hAnsi="仿宋" w:eastAsia="仿宋" w:cs="仿宋"/>
          <w:i w:val="0"/>
          <w:iCs w:val="0"/>
          <w:caps w:val="0"/>
          <w:color w:val="333333"/>
          <w:spacing w:val="0"/>
          <w:sz w:val="32"/>
          <w:szCs w:val="32"/>
          <w:bdr w:val="none" w:color="auto" w:sz="0" w:space="0"/>
          <w:shd w:val="clear" w:fill="FFFFFF"/>
        </w:rPr>
        <w:t>2.长期居住认定材料，有效居住证、居民户口簿（迁入就医地的“户口本首页”和本人“常住人口登记卡”）任选其一。</w:t>
      </w:r>
    </w:p>
    <w:p w14:paraId="2B3E44E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40" w:lineRule="atLeast"/>
        <w:ind w:left="0" w:right="0" w:firstLine="640"/>
        <w:jc w:val="both"/>
        <w:rPr>
          <w:rFonts w:hint="default" w:ascii="Times New Roman" w:hAnsi="Times New Roman" w:cs="Times New Roman"/>
          <w:i w:val="0"/>
          <w:iCs w:val="0"/>
          <w:caps w:val="0"/>
          <w:color w:val="333333"/>
          <w:spacing w:val="0"/>
          <w:sz w:val="21"/>
          <w:szCs w:val="21"/>
        </w:rPr>
      </w:pPr>
      <w:r>
        <w:rPr>
          <w:rFonts w:hint="eastAsia" w:ascii="仿宋" w:hAnsi="仿宋" w:eastAsia="仿宋" w:cs="仿宋"/>
          <w:i w:val="0"/>
          <w:iCs w:val="0"/>
          <w:caps w:val="0"/>
          <w:color w:val="333333"/>
          <w:spacing w:val="0"/>
          <w:sz w:val="32"/>
          <w:szCs w:val="32"/>
          <w:bdr w:val="none" w:color="auto" w:sz="0" w:space="0"/>
          <w:shd w:val="clear" w:fill="FFFFFF"/>
        </w:rPr>
        <w:t>（三）常驻异地工作人员备案，需提供以下材料：</w:t>
      </w:r>
    </w:p>
    <w:p w14:paraId="2ADECDB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40" w:lineRule="atLeast"/>
        <w:ind w:left="0" w:right="0" w:firstLine="640"/>
        <w:jc w:val="both"/>
        <w:rPr>
          <w:rFonts w:hint="default" w:ascii="Times New Roman" w:hAnsi="Times New Roman" w:cs="Times New Roman"/>
          <w:i w:val="0"/>
          <w:iCs w:val="0"/>
          <w:caps w:val="0"/>
          <w:color w:val="333333"/>
          <w:spacing w:val="0"/>
          <w:sz w:val="21"/>
          <w:szCs w:val="21"/>
        </w:rPr>
      </w:pPr>
      <w:r>
        <w:rPr>
          <w:rFonts w:hint="eastAsia" w:ascii="仿宋" w:hAnsi="仿宋" w:eastAsia="仿宋" w:cs="仿宋"/>
          <w:i w:val="0"/>
          <w:iCs w:val="0"/>
          <w:caps w:val="0"/>
          <w:color w:val="333333"/>
          <w:spacing w:val="0"/>
          <w:sz w:val="32"/>
          <w:szCs w:val="32"/>
          <w:bdr w:val="none" w:color="auto" w:sz="0" w:space="0"/>
          <w:shd w:val="clear" w:fill="FFFFFF"/>
        </w:rPr>
        <w:t>1.医保电子凭证、有效身份证件或社会保障卡，任选其一。</w:t>
      </w:r>
    </w:p>
    <w:p w14:paraId="3526FBC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40" w:lineRule="atLeast"/>
        <w:ind w:left="0" w:right="0" w:firstLine="640"/>
        <w:jc w:val="both"/>
        <w:rPr>
          <w:rFonts w:hint="default" w:ascii="Times New Roman" w:hAnsi="Times New Roman" w:cs="Times New Roman"/>
          <w:i w:val="0"/>
          <w:iCs w:val="0"/>
          <w:caps w:val="0"/>
          <w:color w:val="333333"/>
          <w:spacing w:val="0"/>
          <w:sz w:val="21"/>
          <w:szCs w:val="21"/>
        </w:rPr>
      </w:pPr>
      <w:r>
        <w:rPr>
          <w:rFonts w:hint="eastAsia" w:ascii="仿宋" w:hAnsi="仿宋" w:eastAsia="仿宋" w:cs="仿宋"/>
          <w:i w:val="0"/>
          <w:iCs w:val="0"/>
          <w:caps w:val="0"/>
          <w:color w:val="333333"/>
          <w:spacing w:val="0"/>
          <w:sz w:val="32"/>
          <w:szCs w:val="32"/>
          <w:bdr w:val="none" w:color="auto" w:sz="0" w:space="0"/>
          <w:shd w:val="clear" w:fill="FFFFFF"/>
        </w:rPr>
        <w:t>2.异地工作证明材料：参保地工作单位派出凭证、异地工作劳动合同任选其一，或个人承诺书。</w:t>
      </w:r>
    </w:p>
    <w:p w14:paraId="341F280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40" w:lineRule="atLeast"/>
        <w:ind w:left="0" w:right="0" w:firstLine="640"/>
        <w:jc w:val="both"/>
        <w:rPr>
          <w:rFonts w:hint="default" w:ascii="Times New Roman" w:hAnsi="Times New Roman" w:cs="Times New Roman"/>
          <w:i w:val="0"/>
          <w:iCs w:val="0"/>
          <w:caps w:val="0"/>
          <w:color w:val="333333"/>
          <w:spacing w:val="0"/>
          <w:sz w:val="21"/>
          <w:szCs w:val="21"/>
        </w:rPr>
      </w:pPr>
      <w:r>
        <w:rPr>
          <w:rFonts w:hint="eastAsia" w:ascii="仿宋" w:hAnsi="仿宋" w:eastAsia="仿宋" w:cs="仿宋"/>
          <w:i w:val="0"/>
          <w:iCs w:val="0"/>
          <w:caps w:val="0"/>
          <w:color w:val="333333"/>
          <w:spacing w:val="0"/>
          <w:sz w:val="32"/>
          <w:szCs w:val="32"/>
          <w:bdr w:val="none" w:color="auto" w:sz="0" w:space="0"/>
          <w:shd w:val="clear" w:fill="FFFFFF"/>
        </w:rPr>
        <w:t>（四）异地转诊就医人员备案，需提供以下材料：</w:t>
      </w:r>
    </w:p>
    <w:p w14:paraId="094FE8E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40" w:lineRule="atLeast"/>
        <w:ind w:left="0" w:right="0" w:firstLine="640"/>
        <w:jc w:val="both"/>
        <w:rPr>
          <w:rFonts w:hint="default" w:ascii="Times New Roman" w:hAnsi="Times New Roman" w:cs="Times New Roman"/>
          <w:i w:val="0"/>
          <w:iCs w:val="0"/>
          <w:caps w:val="0"/>
          <w:color w:val="333333"/>
          <w:spacing w:val="0"/>
          <w:sz w:val="21"/>
          <w:szCs w:val="21"/>
        </w:rPr>
      </w:pPr>
      <w:r>
        <w:rPr>
          <w:rFonts w:hint="eastAsia" w:ascii="仿宋" w:hAnsi="仿宋" w:eastAsia="仿宋" w:cs="仿宋"/>
          <w:i w:val="0"/>
          <w:iCs w:val="0"/>
          <w:caps w:val="0"/>
          <w:color w:val="333333"/>
          <w:spacing w:val="0"/>
          <w:sz w:val="32"/>
          <w:szCs w:val="32"/>
          <w:bdr w:val="none" w:color="auto" w:sz="0" w:space="0"/>
          <w:shd w:val="clear" w:fill="FFFFFF"/>
        </w:rPr>
        <w:t>1.医保电子凭证、有效身份证件或社会保障卡，任选其一。</w:t>
      </w:r>
    </w:p>
    <w:p w14:paraId="16CEA38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40" w:lineRule="atLeast"/>
        <w:ind w:left="0" w:right="0" w:firstLine="640"/>
        <w:jc w:val="both"/>
        <w:rPr>
          <w:rFonts w:hint="default" w:ascii="Times New Roman" w:hAnsi="Times New Roman" w:cs="Times New Roman"/>
          <w:i w:val="0"/>
          <w:iCs w:val="0"/>
          <w:caps w:val="0"/>
          <w:color w:val="333333"/>
          <w:spacing w:val="0"/>
          <w:sz w:val="21"/>
          <w:szCs w:val="21"/>
        </w:rPr>
      </w:pPr>
      <w:r>
        <w:rPr>
          <w:rFonts w:hint="eastAsia" w:ascii="仿宋" w:hAnsi="仿宋" w:eastAsia="仿宋" w:cs="仿宋"/>
          <w:i w:val="0"/>
          <w:iCs w:val="0"/>
          <w:caps w:val="0"/>
          <w:color w:val="333333"/>
          <w:spacing w:val="0"/>
          <w:sz w:val="32"/>
          <w:szCs w:val="32"/>
          <w:bdr w:val="none" w:color="auto" w:sz="0" w:space="0"/>
          <w:shd w:val="clear" w:fill="FFFFFF"/>
        </w:rPr>
        <w:t>2.蚌埠市具有转诊资质的二级（含）以上公立医疗机构开具的转诊转院材料。</w:t>
      </w:r>
    </w:p>
    <w:p w14:paraId="66020B3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40" w:lineRule="atLeast"/>
        <w:ind w:left="0" w:right="0" w:firstLine="640"/>
        <w:jc w:val="both"/>
        <w:rPr>
          <w:rFonts w:hint="default" w:ascii="Times New Roman" w:hAnsi="Times New Roman" w:cs="Times New Roman"/>
          <w:i w:val="0"/>
          <w:iCs w:val="0"/>
          <w:caps w:val="0"/>
          <w:color w:val="333333"/>
          <w:spacing w:val="0"/>
          <w:sz w:val="21"/>
          <w:szCs w:val="21"/>
        </w:rPr>
      </w:pPr>
      <w:r>
        <w:rPr>
          <w:rFonts w:hint="eastAsia" w:ascii="仿宋" w:hAnsi="仿宋" w:eastAsia="仿宋" w:cs="仿宋"/>
          <w:i w:val="0"/>
          <w:iCs w:val="0"/>
          <w:caps w:val="0"/>
          <w:color w:val="333333"/>
          <w:spacing w:val="0"/>
          <w:sz w:val="32"/>
          <w:szCs w:val="32"/>
          <w:bdr w:val="none" w:color="auto" w:sz="0" w:space="0"/>
          <w:shd w:val="clear" w:fill="FFFFFF"/>
        </w:rPr>
        <w:t>（五）异地急诊抢救人员视同已备案。</w:t>
      </w:r>
    </w:p>
    <w:p w14:paraId="50B5057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40" w:lineRule="atLeast"/>
        <w:ind w:left="0" w:right="0" w:firstLine="640"/>
        <w:jc w:val="both"/>
        <w:rPr>
          <w:rFonts w:hint="default" w:ascii="Times New Roman" w:hAnsi="Times New Roman" w:cs="Times New Roman"/>
          <w:i w:val="0"/>
          <w:iCs w:val="0"/>
          <w:caps w:val="0"/>
          <w:color w:val="333333"/>
          <w:spacing w:val="0"/>
          <w:sz w:val="21"/>
          <w:szCs w:val="21"/>
        </w:rPr>
      </w:pPr>
      <w:r>
        <w:rPr>
          <w:rFonts w:hint="eastAsia" w:ascii="仿宋" w:hAnsi="仿宋" w:eastAsia="仿宋" w:cs="仿宋"/>
          <w:i w:val="0"/>
          <w:iCs w:val="0"/>
          <w:caps w:val="0"/>
          <w:color w:val="333333"/>
          <w:spacing w:val="0"/>
          <w:sz w:val="32"/>
          <w:szCs w:val="32"/>
          <w:bdr w:val="none" w:color="auto" w:sz="0" w:space="0"/>
          <w:shd w:val="clear" w:fill="FFFFFF"/>
        </w:rPr>
        <w:t>（六）其他跨省临时外出就医人员备案，需提供医保电子凭证、有效身份证件或社会保障卡，任选其一。</w:t>
      </w:r>
    </w:p>
    <w:p w14:paraId="6ECCBBD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40" w:lineRule="atLeast"/>
        <w:ind w:left="0" w:right="0" w:firstLine="640"/>
        <w:jc w:val="both"/>
        <w:rPr>
          <w:rFonts w:hint="default" w:ascii="Times New Roman" w:hAnsi="Times New Roman" w:cs="Times New Roman"/>
          <w:i w:val="0"/>
          <w:iCs w:val="0"/>
          <w:caps w:val="0"/>
          <w:color w:val="333333"/>
          <w:spacing w:val="0"/>
          <w:sz w:val="21"/>
          <w:szCs w:val="21"/>
        </w:rPr>
      </w:pPr>
      <w:r>
        <w:rPr>
          <w:rFonts w:hint="eastAsia" w:ascii="仿宋" w:hAnsi="仿宋" w:eastAsia="仿宋" w:cs="仿宋"/>
          <w:i w:val="0"/>
          <w:iCs w:val="0"/>
          <w:caps w:val="0"/>
          <w:color w:val="333333"/>
          <w:spacing w:val="0"/>
          <w:sz w:val="32"/>
          <w:szCs w:val="32"/>
          <w:bdr w:val="none" w:color="auto" w:sz="0" w:space="0"/>
          <w:shd w:val="clear" w:fill="FFFFFF"/>
        </w:rPr>
        <w:t>特别提示：参保人员以个人承诺方式办理异地长期居住人员备案（含异地安置退休人员、异地长期居住人员、常驻异地工作人员），参保人员确持有异地长期居住认定材料，且就医时间在该材料的有效期内，在异地就医费用医保结算前补齐备案材料的，按照“异地长期居住人员”享受医保报销待遇。因故未能在出院结算前补齐的，可先自费结算出院，补齐备案材料后，回参保地经办机构进行医保手工报销，按照“异地长期居住人员”享受医保报销待遇。在异地就医费用医保结算前未能补齐备案材料的，按照“其他临时外出就医人员”享受医保报销待遇。</w:t>
      </w:r>
    </w:p>
    <w:p w14:paraId="430B209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40" w:lineRule="atLeast"/>
        <w:ind w:left="0" w:right="0" w:firstLine="640"/>
        <w:jc w:val="both"/>
        <w:rPr>
          <w:rFonts w:hint="default" w:ascii="Calibri" w:hAnsi="Calibri" w:cs="Calibri"/>
          <w:i w:val="0"/>
          <w:iCs w:val="0"/>
          <w:caps w:val="0"/>
          <w:color w:val="333333"/>
          <w:spacing w:val="0"/>
          <w:sz w:val="21"/>
          <w:szCs w:val="21"/>
        </w:rPr>
      </w:pPr>
      <w:r>
        <w:rPr>
          <w:rFonts w:hint="eastAsia" w:ascii="黑体" w:hAnsi="宋体" w:eastAsia="黑体" w:cs="黑体"/>
          <w:i w:val="0"/>
          <w:iCs w:val="0"/>
          <w:caps w:val="0"/>
          <w:color w:val="333333"/>
          <w:spacing w:val="0"/>
          <w:sz w:val="32"/>
          <w:szCs w:val="32"/>
          <w:bdr w:val="none" w:color="auto" w:sz="0" w:space="0"/>
          <w:shd w:val="clear" w:fill="FFFFFF"/>
        </w:rPr>
        <w:t>四、异地就医备案途径有哪些?</w:t>
      </w:r>
    </w:p>
    <w:p w14:paraId="76B0BA0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40" w:lineRule="atLeast"/>
        <w:ind w:left="0" w:right="0" w:firstLine="640"/>
        <w:jc w:val="both"/>
        <w:rPr>
          <w:rFonts w:hint="default" w:ascii="Times New Roman" w:hAnsi="Times New Roman" w:cs="Times New Roman"/>
          <w:i w:val="0"/>
          <w:iCs w:val="0"/>
          <w:caps w:val="0"/>
          <w:color w:val="333333"/>
          <w:spacing w:val="0"/>
          <w:sz w:val="21"/>
          <w:szCs w:val="21"/>
        </w:rPr>
      </w:pPr>
      <w:r>
        <w:rPr>
          <w:rFonts w:hint="eastAsia" w:ascii="仿宋" w:hAnsi="仿宋" w:eastAsia="仿宋" w:cs="仿宋"/>
          <w:i w:val="0"/>
          <w:iCs w:val="0"/>
          <w:caps w:val="0"/>
          <w:color w:val="333333"/>
          <w:spacing w:val="0"/>
          <w:sz w:val="32"/>
          <w:szCs w:val="32"/>
          <w:bdr w:val="none" w:color="auto" w:sz="0" w:space="0"/>
          <w:shd w:val="clear" w:fill="FFFFFF"/>
        </w:rPr>
        <w:t>（一）现场办理</w:t>
      </w:r>
    </w:p>
    <w:p w14:paraId="2ECA411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40" w:lineRule="atLeast"/>
        <w:ind w:left="0" w:right="0" w:firstLine="640"/>
        <w:jc w:val="both"/>
        <w:rPr>
          <w:rFonts w:hint="default" w:ascii="Times New Roman" w:hAnsi="Times New Roman" w:cs="Times New Roman"/>
          <w:i w:val="0"/>
          <w:iCs w:val="0"/>
          <w:caps w:val="0"/>
          <w:color w:val="333333"/>
          <w:spacing w:val="0"/>
          <w:sz w:val="21"/>
          <w:szCs w:val="21"/>
        </w:rPr>
      </w:pPr>
      <w:r>
        <w:rPr>
          <w:rFonts w:hint="eastAsia" w:ascii="仿宋" w:hAnsi="仿宋" w:eastAsia="仿宋" w:cs="仿宋"/>
          <w:i w:val="0"/>
          <w:iCs w:val="0"/>
          <w:caps w:val="0"/>
          <w:color w:val="333333"/>
          <w:spacing w:val="0"/>
          <w:sz w:val="32"/>
          <w:szCs w:val="32"/>
          <w:bdr w:val="none" w:color="auto" w:sz="0" w:space="0"/>
          <w:shd w:val="clear" w:fill="FFFFFF"/>
        </w:rPr>
        <w:t>1.市、县医保中心服务大厅及医保业务代办窗口；</w:t>
      </w:r>
    </w:p>
    <w:p w14:paraId="40B9816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40" w:lineRule="atLeast"/>
        <w:ind w:left="0" w:right="0" w:firstLine="640"/>
        <w:jc w:val="both"/>
        <w:rPr>
          <w:rFonts w:hint="default" w:ascii="Times New Roman" w:hAnsi="Times New Roman" w:cs="Times New Roman"/>
          <w:i w:val="0"/>
          <w:iCs w:val="0"/>
          <w:caps w:val="0"/>
          <w:color w:val="333333"/>
          <w:spacing w:val="0"/>
          <w:sz w:val="21"/>
          <w:szCs w:val="21"/>
        </w:rPr>
      </w:pPr>
      <w:r>
        <w:rPr>
          <w:rFonts w:hint="eastAsia" w:ascii="仿宋" w:hAnsi="仿宋" w:eastAsia="仿宋" w:cs="仿宋"/>
          <w:i w:val="0"/>
          <w:iCs w:val="0"/>
          <w:caps w:val="0"/>
          <w:color w:val="333333"/>
          <w:spacing w:val="0"/>
          <w:sz w:val="32"/>
          <w:szCs w:val="32"/>
          <w:bdr w:val="none" w:color="auto" w:sz="0" w:space="0"/>
          <w:shd w:val="clear" w:fill="FFFFFF"/>
        </w:rPr>
        <w:t>2.办理异地转诊就医人员备案，到蚌埠市具有转诊资质的二级（含）以上公立医院医保办公室办理。</w:t>
      </w:r>
    </w:p>
    <w:p w14:paraId="733D45D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40" w:lineRule="atLeast"/>
        <w:ind w:left="0" w:right="0" w:firstLine="640"/>
        <w:jc w:val="both"/>
        <w:rPr>
          <w:rFonts w:hint="default" w:ascii="Times New Roman" w:hAnsi="Times New Roman" w:cs="Times New Roman"/>
          <w:i w:val="0"/>
          <w:iCs w:val="0"/>
          <w:caps w:val="0"/>
          <w:color w:val="333333"/>
          <w:spacing w:val="0"/>
          <w:sz w:val="21"/>
          <w:szCs w:val="21"/>
        </w:rPr>
      </w:pPr>
      <w:r>
        <w:rPr>
          <w:rFonts w:hint="eastAsia" w:ascii="仿宋" w:hAnsi="仿宋" w:eastAsia="仿宋" w:cs="仿宋"/>
          <w:i w:val="0"/>
          <w:iCs w:val="0"/>
          <w:caps w:val="0"/>
          <w:color w:val="333333"/>
          <w:spacing w:val="0"/>
          <w:sz w:val="32"/>
          <w:szCs w:val="32"/>
          <w:bdr w:val="none" w:color="auto" w:sz="0" w:space="0"/>
          <w:shd w:val="clear" w:fill="FFFFFF"/>
        </w:rPr>
        <w:t>（二）</w:t>
      </w:r>
      <w:r>
        <w:rPr>
          <w:rFonts w:hint="eastAsia" w:ascii="宋体" w:hAnsi="宋体" w:eastAsia="宋体" w:cs="宋体"/>
          <w:i w:val="0"/>
          <w:iCs w:val="0"/>
          <w:caps w:val="0"/>
          <w:color w:val="333333"/>
          <w:spacing w:val="0"/>
          <w:sz w:val="32"/>
          <w:szCs w:val="32"/>
          <w:bdr w:val="none" w:color="auto" w:sz="0" w:space="0"/>
          <w:shd w:val="clear" w:fill="FFFFFF"/>
        </w:rPr>
        <w:t>“</w:t>
      </w:r>
      <w:r>
        <w:rPr>
          <w:rFonts w:hint="eastAsia" w:ascii="仿宋" w:hAnsi="仿宋" w:eastAsia="仿宋" w:cs="仿宋"/>
          <w:i w:val="0"/>
          <w:iCs w:val="0"/>
          <w:caps w:val="0"/>
          <w:color w:val="333333"/>
          <w:spacing w:val="0"/>
          <w:sz w:val="32"/>
          <w:szCs w:val="32"/>
          <w:bdr w:val="none" w:color="auto" w:sz="0" w:space="0"/>
          <w:shd w:val="clear" w:fill="FFFFFF"/>
        </w:rPr>
        <w:t>网上办、掌上办</w:t>
      </w:r>
      <w:r>
        <w:rPr>
          <w:rFonts w:hint="eastAsia" w:ascii="宋体" w:hAnsi="宋体" w:eastAsia="宋体" w:cs="宋体"/>
          <w:i w:val="0"/>
          <w:iCs w:val="0"/>
          <w:caps w:val="0"/>
          <w:color w:val="333333"/>
          <w:spacing w:val="0"/>
          <w:sz w:val="32"/>
          <w:szCs w:val="32"/>
          <w:bdr w:val="none" w:color="auto" w:sz="0" w:space="0"/>
          <w:shd w:val="clear" w:fill="FFFFFF"/>
        </w:rPr>
        <w:t>”</w:t>
      </w:r>
    </w:p>
    <w:p w14:paraId="24C51B1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40" w:lineRule="atLeast"/>
        <w:ind w:left="0" w:right="0" w:firstLine="640"/>
        <w:jc w:val="both"/>
        <w:rPr>
          <w:rFonts w:hint="default" w:ascii="Times New Roman" w:hAnsi="Times New Roman" w:cs="Times New Roman"/>
          <w:i w:val="0"/>
          <w:iCs w:val="0"/>
          <w:caps w:val="0"/>
          <w:color w:val="333333"/>
          <w:spacing w:val="0"/>
          <w:sz w:val="21"/>
          <w:szCs w:val="21"/>
        </w:rPr>
      </w:pPr>
      <w:r>
        <w:rPr>
          <w:rFonts w:hint="eastAsia" w:ascii="仿宋" w:hAnsi="仿宋" w:eastAsia="仿宋" w:cs="仿宋"/>
          <w:i w:val="0"/>
          <w:iCs w:val="0"/>
          <w:caps w:val="0"/>
          <w:color w:val="333333"/>
          <w:spacing w:val="0"/>
          <w:sz w:val="32"/>
          <w:szCs w:val="32"/>
          <w:bdr w:val="none" w:color="auto" w:sz="0" w:space="0"/>
          <w:shd w:val="clear" w:fill="FFFFFF"/>
        </w:rPr>
        <w:t>1.“安徽医保公共服务”微信小程序：关注“蚌埠医保”微信公众号、通过皖事通或微信小程序，搜索“安徽医保公共服务”，可办理到安徽省内和省外的所有类型异地就医备案。在该平台申请“其他临时外出就医人员”备案类别自动审核，即申即享。</w:t>
      </w:r>
    </w:p>
    <w:p w14:paraId="58AD723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40" w:lineRule="atLeast"/>
        <w:ind w:left="0" w:right="0" w:firstLine="560"/>
        <w:jc w:val="both"/>
        <w:rPr>
          <w:rFonts w:hint="default" w:ascii="Times New Roman" w:hAnsi="Times New Roman" w:cs="Times New Roman"/>
          <w:i w:val="0"/>
          <w:iCs w:val="0"/>
          <w:caps w:val="0"/>
          <w:color w:val="333333"/>
          <w:spacing w:val="0"/>
          <w:sz w:val="21"/>
          <w:szCs w:val="21"/>
        </w:rPr>
      </w:pPr>
      <w:r>
        <w:rPr>
          <w:rFonts w:hint="eastAsia" w:ascii="仿宋" w:hAnsi="仿宋" w:eastAsia="仿宋" w:cs="仿宋"/>
          <w:i w:val="0"/>
          <w:iCs w:val="0"/>
          <w:caps w:val="0"/>
          <w:color w:val="333333"/>
          <w:spacing w:val="-20"/>
          <w:sz w:val="32"/>
          <w:szCs w:val="32"/>
          <w:bdr w:val="none" w:color="auto" w:sz="0" w:space="0"/>
          <w:shd w:val="clear" w:fill="FFFFFF"/>
        </w:rPr>
        <w:t>2.</w:t>
      </w:r>
      <w:r>
        <w:rPr>
          <w:rFonts w:hint="eastAsia" w:ascii="宋体" w:hAnsi="宋体" w:eastAsia="宋体" w:cs="宋体"/>
          <w:i w:val="0"/>
          <w:iCs w:val="0"/>
          <w:caps w:val="0"/>
          <w:color w:val="333333"/>
          <w:spacing w:val="0"/>
          <w:sz w:val="32"/>
          <w:szCs w:val="32"/>
          <w:bdr w:val="none" w:color="auto" w:sz="0" w:space="0"/>
          <w:shd w:val="clear" w:fill="FFFFFF"/>
        </w:rPr>
        <w:t>“</w:t>
      </w:r>
      <w:r>
        <w:rPr>
          <w:rFonts w:hint="eastAsia" w:ascii="仿宋" w:hAnsi="仿宋" w:eastAsia="仿宋" w:cs="仿宋"/>
          <w:i w:val="0"/>
          <w:iCs w:val="0"/>
          <w:caps w:val="0"/>
          <w:color w:val="333333"/>
          <w:spacing w:val="0"/>
          <w:sz w:val="32"/>
          <w:szCs w:val="32"/>
          <w:bdr w:val="none" w:color="auto" w:sz="0" w:space="0"/>
          <w:shd w:val="clear" w:fill="FFFFFF"/>
        </w:rPr>
        <w:t>国家医保服务平台 </w:t>
      </w:r>
      <w:r>
        <w:rPr>
          <w:rFonts w:hint="eastAsia" w:ascii="宋体" w:hAnsi="宋体" w:eastAsia="宋体" w:cs="宋体"/>
          <w:i w:val="0"/>
          <w:iCs w:val="0"/>
          <w:caps w:val="0"/>
          <w:color w:val="333333"/>
          <w:spacing w:val="0"/>
          <w:sz w:val="32"/>
          <w:szCs w:val="32"/>
          <w:bdr w:val="none" w:color="auto" w:sz="0" w:space="0"/>
          <w:shd w:val="clear" w:fill="FFFFFF"/>
        </w:rPr>
        <w:t>”</w:t>
      </w:r>
      <w:r>
        <w:rPr>
          <w:rFonts w:hint="eastAsia" w:ascii="仿宋" w:hAnsi="仿宋" w:eastAsia="仿宋" w:cs="仿宋"/>
          <w:i w:val="0"/>
          <w:iCs w:val="0"/>
          <w:caps w:val="0"/>
          <w:color w:val="333333"/>
          <w:spacing w:val="0"/>
          <w:sz w:val="32"/>
          <w:szCs w:val="32"/>
          <w:bdr w:val="none" w:color="auto" w:sz="0" w:space="0"/>
          <w:shd w:val="clear" w:fill="FFFFFF"/>
        </w:rPr>
        <w:t>APP和</w:t>
      </w:r>
      <w:r>
        <w:rPr>
          <w:rFonts w:hint="eastAsia" w:ascii="宋体" w:hAnsi="宋体" w:eastAsia="宋体" w:cs="宋体"/>
          <w:i w:val="0"/>
          <w:iCs w:val="0"/>
          <w:caps w:val="0"/>
          <w:color w:val="333333"/>
          <w:spacing w:val="0"/>
          <w:sz w:val="32"/>
          <w:szCs w:val="32"/>
          <w:bdr w:val="none" w:color="auto" w:sz="0" w:space="0"/>
          <w:shd w:val="clear" w:fill="FFFFFF"/>
        </w:rPr>
        <w:t>“</w:t>
      </w:r>
      <w:r>
        <w:rPr>
          <w:rFonts w:hint="eastAsia" w:ascii="仿宋" w:hAnsi="仿宋" w:eastAsia="仿宋" w:cs="仿宋"/>
          <w:i w:val="0"/>
          <w:iCs w:val="0"/>
          <w:caps w:val="0"/>
          <w:color w:val="333333"/>
          <w:spacing w:val="0"/>
          <w:sz w:val="32"/>
          <w:szCs w:val="32"/>
          <w:bdr w:val="none" w:color="auto" w:sz="0" w:space="0"/>
          <w:shd w:val="clear" w:fill="FFFFFF"/>
        </w:rPr>
        <w:t>国家异地就医备案</w:t>
      </w:r>
      <w:r>
        <w:rPr>
          <w:rFonts w:hint="eastAsia" w:ascii="宋体" w:hAnsi="宋体" w:eastAsia="宋体" w:cs="宋体"/>
          <w:i w:val="0"/>
          <w:iCs w:val="0"/>
          <w:caps w:val="0"/>
          <w:color w:val="333333"/>
          <w:spacing w:val="0"/>
          <w:sz w:val="32"/>
          <w:szCs w:val="32"/>
          <w:bdr w:val="none" w:color="auto" w:sz="0" w:space="0"/>
          <w:shd w:val="clear" w:fill="FFFFFF"/>
        </w:rPr>
        <w:t>”</w:t>
      </w:r>
      <w:r>
        <w:rPr>
          <w:rFonts w:hint="eastAsia" w:ascii="仿宋" w:hAnsi="仿宋" w:eastAsia="仿宋" w:cs="仿宋"/>
          <w:i w:val="0"/>
          <w:iCs w:val="0"/>
          <w:caps w:val="0"/>
          <w:color w:val="333333"/>
          <w:spacing w:val="0"/>
          <w:sz w:val="32"/>
          <w:szCs w:val="32"/>
          <w:bdr w:val="none" w:color="auto" w:sz="0" w:space="0"/>
          <w:shd w:val="clear" w:fill="FFFFFF"/>
        </w:rPr>
        <w:t>微信小程序：可办理到安徽省外的异地就医备案。</w:t>
      </w:r>
    </w:p>
    <w:p w14:paraId="3796B5A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40" w:lineRule="atLeast"/>
        <w:ind w:left="0" w:right="0" w:firstLine="640"/>
        <w:jc w:val="both"/>
        <w:rPr>
          <w:rFonts w:hint="default" w:ascii="Times New Roman" w:hAnsi="Times New Roman" w:cs="Times New Roman"/>
          <w:i w:val="0"/>
          <w:iCs w:val="0"/>
          <w:caps w:val="0"/>
          <w:color w:val="333333"/>
          <w:spacing w:val="0"/>
          <w:sz w:val="21"/>
          <w:szCs w:val="21"/>
        </w:rPr>
      </w:pPr>
      <w:r>
        <w:rPr>
          <w:rFonts w:hint="eastAsia" w:ascii="仿宋" w:hAnsi="仿宋" w:eastAsia="仿宋" w:cs="仿宋"/>
          <w:i w:val="0"/>
          <w:iCs w:val="0"/>
          <w:caps w:val="0"/>
          <w:color w:val="333333"/>
          <w:spacing w:val="0"/>
          <w:sz w:val="32"/>
          <w:szCs w:val="32"/>
          <w:bdr w:val="none" w:color="auto" w:sz="0" w:space="0"/>
          <w:shd w:val="clear" w:fill="FFFFFF"/>
        </w:rPr>
        <w:t>备案信息提交后会收到审核结果的短信通知。</w:t>
      </w:r>
    </w:p>
    <w:p w14:paraId="7DD86E6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40" w:lineRule="atLeast"/>
        <w:ind w:left="0" w:right="0" w:firstLine="640"/>
        <w:jc w:val="both"/>
        <w:rPr>
          <w:rFonts w:hint="default" w:ascii="Calibri" w:hAnsi="Calibri" w:cs="Calibri"/>
          <w:i w:val="0"/>
          <w:iCs w:val="0"/>
          <w:caps w:val="0"/>
          <w:color w:val="333333"/>
          <w:spacing w:val="0"/>
          <w:sz w:val="21"/>
          <w:szCs w:val="21"/>
        </w:rPr>
      </w:pPr>
      <w:r>
        <w:rPr>
          <w:rFonts w:hint="eastAsia" w:ascii="黑体" w:hAnsi="宋体" w:eastAsia="黑体" w:cs="黑体"/>
          <w:i w:val="0"/>
          <w:iCs w:val="0"/>
          <w:caps w:val="0"/>
          <w:color w:val="333333"/>
          <w:spacing w:val="0"/>
          <w:sz w:val="32"/>
          <w:szCs w:val="32"/>
          <w:bdr w:val="none" w:color="auto" w:sz="0" w:space="0"/>
          <w:shd w:val="clear" w:fill="FFFFFF"/>
        </w:rPr>
        <w:t>五、异地就医备案的就医地如何选择？</w:t>
      </w:r>
    </w:p>
    <w:p w14:paraId="39EC88D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40" w:lineRule="atLeast"/>
        <w:ind w:left="0" w:right="0" w:firstLine="640"/>
        <w:jc w:val="both"/>
        <w:rPr>
          <w:rFonts w:hint="default" w:ascii="Times New Roman" w:hAnsi="Times New Roman" w:cs="Times New Roman"/>
          <w:i w:val="0"/>
          <w:iCs w:val="0"/>
          <w:caps w:val="0"/>
          <w:color w:val="333333"/>
          <w:spacing w:val="0"/>
          <w:sz w:val="21"/>
          <w:szCs w:val="21"/>
        </w:rPr>
      </w:pPr>
      <w:r>
        <w:rPr>
          <w:rFonts w:hint="eastAsia" w:ascii="仿宋" w:hAnsi="仿宋" w:eastAsia="仿宋" w:cs="仿宋"/>
          <w:i w:val="0"/>
          <w:iCs w:val="0"/>
          <w:caps w:val="0"/>
          <w:color w:val="333333"/>
          <w:spacing w:val="0"/>
          <w:sz w:val="32"/>
          <w:szCs w:val="32"/>
          <w:bdr w:val="none" w:color="auto" w:sz="0" w:space="0"/>
          <w:shd w:val="clear" w:fill="FFFFFF"/>
        </w:rPr>
        <w:t>异地就医到北京、天津、上海、重庆、海南、西藏和新疆兵团，直接备案到就医省份。异地就医到其他地区，须备案到就医地市。</w:t>
      </w:r>
    </w:p>
    <w:p w14:paraId="42B1165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40" w:lineRule="atLeast"/>
        <w:ind w:left="0" w:right="0" w:firstLine="640"/>
        <w:jc w:val="both"/>
        <w:rPr>
          <w:rFonts w:hint="default" w:ascii="Calibri" w:hAnsi="Calibri" w:cs="Calibri"/>
          <w:i w:val="0"/>
          <w:iCs w:val="0"/>
          <w:caps w:val="0"/>
          <w:color w:val="333333"/>
          <w:spacing w:val="0"/>
          <w:sz w:val="21"/>
          <w:szCs w:val="21"/>
        </w:rPr>
      </w:pPr>
      <w:r>
        <w:rPr>
          <w:rFonts w:hint="eastAsia" w:ascii="黑体" w:hAnsi="宋体" w:eastAsia="黑体" w:cs="黑体"/>
          <w:i w:val="0"/>
          <w:iCs w:val="0"/>
          <w:caps w:val="0"/>
          <w:color w:val="333333"/>
          <w:spacing w:val="0"/>
          <w:sz w:val="32"/>
          <w:szCs w:val="32"/>
          <w:bdr w:val="none" w:color="auto" w:sz="0" w:space="0"/>
          <w:shd w:val="clear" w:fill="FFFFFF"/>
        </w:rPr>
        <w:t>六、异地就医备案的有效期限？</w:t>
      </w:r>
    </w:p>
    <w:p w14:paraId="6DF5E21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40" w:lineRule="atLeast"/>
        <w:ind w:left="0" w:right="0" w:firstLine="640"/>
        <w:jc w:val="both"/>
        <w:rPr>
          <w:rFonts w:hint="default" w:ascii="Times New Roman" w:hAnsi="Times New Roman" w:cs="Times New Roman"/>
          <w:i w:val="0"/>
          <w:iCs w:val="0"/>
          <w:caps w:val="0"/>
          <w:color w:val="333333"/>
          <w:spacing w:val="0"/>
          <w:sz w:val="21"/>
          <w:szCs w:val="21"/>
        </w:rPr>
      </w:pPr>
      <w:r>
        <w:rPr>
          <w:rFonts w:hint="eastAsia" w:ascii="仿宋" w:hAnsi="仿宋" w:eastAsia="仿宋" w:cs="仿宋"/>
          <w:i w:val="0"/>
          <w:iCs w:val="0"/>
          <w:caps w:val="0"/>
          <w:color w:val="333333"/>
          <w:spacing w:val="0"/>
          <w:sz w:val="32"/>
          <w:szCs w:val="32"/>
          <w:bdr w:val="none" w:color="auto" w:sz="0" w:space="0"/>
          <w:shd w:val="clear" w:fill="FFFFFF"/>
        </w:rPr>
        <w:t>异地长期居住人员登记备案后，未申请变更备案信息或参保状态未发生变更的，备案长期有效；临时外出就医人员备案后，12个月有效，有效期内根据病情需要可在就医地多次就诊并享受异地就医直接结算服务。</w:t>
      </w:r>
    </w:p>
    <w:p w14:paraId="32EAC93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40" w:lineRule="atLeast"/>
        <w:ind w:left="0" w:right="0" w:firstLine="640"/>
        <w:jc w:val="both"/>
        <w:rPr>
          <w:rFonts w:hint="default" w:ascii="Times New Roman" w:hAnsi="Times New Roman" w:cs="Times New Roman"/>
          <w:i w:val="0"/>
          <w:iCs w:val="0"/>
          <w:caps w:val="0"/>
          <w:color w:val="333333"/>
          <w:spacing w:val="0"/>
          <w:sz w:val="21"/>
          <w:szCs w:val="21"/>
        </w:rPr>
      </w:pPr>
      <w:r>
        <w:rPr>
          <w:rFonts w:hint="eastAsia" w:ascii="黑体" w:hAnsi="宋体" w:eastAsia="黑体" w:cs="黑体"/>
          <w:i w:val="0"/>
          <w:iCs w:val="0"/>
          <w:caps w:val="0"/>
          <w:color w:val="333333"/>
          <w:spacing w:val="0"/>
          <w:sz w:val="32"/>
          <w:szCs w:val="32"/>
          <w:bdr w:val="none" w:color="auto" w:sz="0" w:space="0"/>
          <w:shd w:val="clear" w:fill="FFFFFF"/>
          <w:lang w:eastAsia="zh-CN"/>
        </w:rPr>
        <w:t>七</w:t>
      </w:r>
      <w:r>
        <w:rPr>
          <w:rFonts w:hint="eastAsia" w:ascii="黑体" w:hAnsi="宋体" w:eastAsia="黑体" w:cs="黑体"/>
          <w:i w:val="0"/>
          <w:iCs w:val="0"/>
          <w:caps w:val="0"/>
          <w:color w:val="333333"/>
          <w:spacing w:val="0"/>
          <w:sz w:val="32"/>
          <w:szCs w:val="32"/>
          <w:bdr w:val="none" w:color="auto" w:sz="0" w:space="0"/>
          <w:shd w:val="clear" w:fill="FFFFFF"/>
        </w:rPr>
        <w:t>、我市异地门诊慢特病待遇是如何规定的？</w:t>
      </w:r>
    </w:p>
    <w:tbl>
      <w:tblPr>
        <w:tblW w:w="9654" w:type="dxa"/>
        <w:tblInd w:w="0"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autofit"/>
        <w:tblCellMar>
          <w:top w:w="0" w:type="dxa"/>
          <w:left w:w="0" w:type="dxa"/>
          <w:bottom w:w="0" w:type="dxa"/>
          <w:right w:w="0" w:type="dxa"/>
        </w:tblCellMar>
      </w:tblPr>
      <w:tblGrid>
        <w:gridCol w:w="1273"/>
        <w:gridCol w:w="1455"/>
        <w:gridCol w:w="1616"/>
        <w:gridCol w:w="997"/>
        <w:gridCol w:w="722"/>
        <w:gridCol w:w="684"/>
        <w:gridCol w:w="709"/>
        <w:gridCol w:w="912"/>
        <w:gridCol w:w="636"/>
        <w:gridCol w:w="650"/>
      </w:tblGrid>
      <w:tr w14:paraId="4F4E786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CellMar>
            <w:top w:w="0" w:type="dxa"/>
            <w:left w:w="0" w:type="dxa"/>
            <w:bottom w:w="0" w:type="dxa"/>
            <w:right w:w="0" w:type="dxa"/>
          </w:tblCellMar>
        </w:tblPrEx>
        <w:tc>
          <w:tcPr>
            <w:tcW w:w="9654" w:type="dxa"/>
            <w:gridSpan w:val="10"/>
            <w:tcBorders>
              <w:top w:val="single" w:color="auto" w:sz="6" w:space="0"/>
              <w:left w:val="single" w:color="auto" w:sz="6" w:space="0"/>
              <w:bottom w:val="single" w:color="auto" w:sz="6" w:space="0"/>
              <w:right w:val="single" w:color="auto" w:sz="6" w:space="0"/>
            </w:tcBorders>
            <w:shd w:val="clear" w:color="auto" w:fill="B8CCE4"/>
            <w:tcMar>
              <w:top w:w="0" w:type="dxa"/>
              <w:left w:w="108" w:type="dxa"/>
              <w:bottom w:w="0" w:type="dxa"/>
              <w:right w:w="108" w:type="dxa"/>
            </w:tcMar>
            <w:vAlign w:val="top"/>
          </w:tcPr>
          <w:p w14:paraId="03AE2EB0">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ascii="方正小标宋简体" w:hAnsi="方正小标宋简体" w:eastAsia="方正小标宋简体" w:cs="方正小标宋简体"/>
                <w:sz w:val="32"/>
                <w:szCs w:val="32"/>
                <w:bdr w:val="none" w:color="auto" w:sz="0" w:space="0"/>
              </w:rPr>
              <w:t>蚌埠市职工医保异地门诊慢特病待遇</w:t>
            </w:r>
          </w:p>
        </w:tc>
      </w:tr>
      <w:tr w14:paraId="59CC6E8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215" w:hRule="atLeast"/>
        </w:trPr>
        <w:tc>
          <w:tcPr>
            <w:tcW w:w="1273" w:type="dxa"/>
            <w:vMerge w:val="restart"/>
            <w:tcBorders>
              <w:top w:val="nil"/>
              <w:left w:val="single" w:color="auto" w:sz="6" w:space="0"/>
              <w:bottom w:val="single" w:color="auto" w:sz="6" w:space="0"/>
              <w:right w:val="single" w:color="auto" w:sz="6" w:space="0"/>
            </w:tcBorders>
            <w:shd w:val="clear" w:color="auto" w:fill="B8CCE4"/>
            <w:tcMar>
              <w:top w:w="0" w:type="dxa"/>
              <w:left w:w="108" w:type="dxa"/>
              <w:bottom w:w="0" w:type="dxa"/>
              <w:right w:w="108" w:type="dxa"/>
            </w:tcMar>
            <w:vAlign w:val="center"/>
          </w:tcPr>
          <w:p w14:paraId="358849F0">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备案类别</w:t>
            </w:r>
          </w:p>
        </w:tc>
        <w:tc>
          <w:tcPr>
            <w:tcW w:w="1455" w:type="dxa"/>
            <w:vMerge w:val="restart"/>
            <w:tcBorders>
              <w:top w:val="single" w:color="auto" w:sz="6" w:space="0"/>
              <w:left w:val="single" w:color="auto" w:sz="6" w:space="0"/>
              <w:bottom w:val="single" w:color="auto" w:sz="6" w:space="0"/>
              <w:right w:val="single" w:color="auto" w:sz="6" w:space="0"/>
            </w:tcBorders>
            <w:shd w:val="clear" w:color="auto" w:fill="B8CCE4"/>
            <w:tcMar>
              <w:top w:w="0" w:type="dxa"/>
              <w:left w:w="108" w:type="dxa"/>
              <w:bottom w:w="0" w:type="dxa"/>
              <w:right w:w="108" w:type="dxa"/>
            </w:tcMar>
            <w:vAlign w:val="center"/>
          </w:tcPr>
          <w:p w14:paraId="50ABF031">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医疗机构级别</w:t>
            </w:r>
          </w:p>
        </w:tc>
        <w:tc>
          <w:tcPr>
            <w:tcW w:w="1616" w:type="dxa"/>
            <w:vMerge w:val="restart"/>
            <w:tcBorders>
              <w:top w:val="single" w:color="auto" w:sz="6" w:space="0"/>
              <w:left w:val="single" w:color="auto" w:sz="6" w:space="0"/>
              <w:bottom w:val="single" w:color="auto" w:sz="6" w:space="0"/>
              <w:right w:val="single" w:color="auto" w:sz="6" w:space="0"/>
            </w:tcBorders>
            <w:shd w:val="clear" w:color="auto" w:fill="B8CCE4"/>
            <w:tcMar>
              <w:top w:w="0" w:type="dxa"/>
              <w:left w:w="108" w:type="dxa"/>
              <w:bottom w:w="0" w:type="dxa"/>
              <w:right w:w="108" w:type="dxa"/>
            </w:tcMar>
            <w:vAlign w:val="center"/>
          </w:tcPr>
          <w:p w14:paraId="5D179C0C">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起付线（元）</w:t>
            </w:r>
          </w:p>
        </w:tc>
        <w:tc>
          <w:tcPr>
            <w:tcW w:w="997" w:type="dxa"/>
            <w:vMerge w:val="restart"/>
            <w:tcBorders>
              <w:top w:val="single" w:color="auto" w:sz="6" w:space="0"/>
              <w:left w:val="single" w:color="auto" w:sz="6" w:space="0"/>
              <w:bottom w:val="single" w:color="auto" w:sz="6" w:space="0"/>
              <w:right w:val="single" w:color="auto" w:sz="6" w:space="0"/>
            </w:tcBorders>
            <w:shd w:val="clear" w:color="auto" w:fill="B8CCE4"/>
            <w:tcMar>
              <w:top w:w="0" w:type="dxa"/>
              <w:left w:w="108" w:type="dxa"/>
              <w:bottom w:w="0" w:type="dxa"/>
              <w:right w:w="108" w:type="dxa"/>
            </w:tcMar>
            <w:vAlign w:val="center"/>
          </w:tcPr>
          <w:p w14:paraId="3984C2F9">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常见慢性病报销支付比例</w:t>
            </w:r>
          </w:p>
        </w:tc>
        <w:tc>
          <w:tcPr>
            <w:tcW w:w="4313" w:type="dxa"/>
            <w:gridSpan w:val="6"/>
            <w:tcBorders>
              <w:top w:val="single" w:color="auto" w:sz="6" w:space="0"/>
              <w:left w:val="single" w:color="auto" w:sz="6" w:space="0"/>
              <w:bottom w:val="single" w:color="auto" w:sz="6" w:space="0"/>
              <w:right w:val="single" w:color="auto" w:sz="6" w:space="0"/>
            </w:tcBorders>
            <w:shd w:val="clear" w:color="auto" w:fill="B8CCE4"/>
            <w:tcMar>
              <w:top w:w="0" w:type="dxa"/>
              <w:left w:w="108" w:type="dxa"/>
              <w:bottom w:w="0" w:type="dxa"/>
              <w:right w:w="108" w:type="dxa"/>
            </w:tcMar>
            <w:vAlign w:val="center"/>
          </w:tcPr>
          <w:p w14:paraId="394A7C12">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特殊慢性病报销支付比例</w:t>
            </w:r>
          </w:p>
        </w:tc>
      </w:tr>
      <w:tr w14:paraId="0F93916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215" w:hRule="atLeast"/>
        </w:trPr>
        <w:tc>
          <w:tcPr>
            <w:tcW w:w="1273" w:type="dxa"/>
            <w:vMerge w:val="continue"/>
            <w:tcBorders>
              <w:top w:val="nil"/>
              <w:left w:val="single" w:color="auto" w:sz="6" w:space="0"/>
              <w:bottom w:val="single" w:color="auto" w:sz="6" w:space="0"/>
              <w:right w:val="single" w:color="auto" w:sz="6" w:space="0"/>
            </w:tcBorders>
            <w:shd w:val="clear" w:color="auto" w:fill="B8CCE4"/>
            <w:tcMar>
              <w:top w:w="0" w:type="dxa"/>
              <w:left w:w="108" w:type="dxa"/>
              <w:bottom w:w="0" w:type="dxa"/>
              <w:right w:w="108" w:type="dxa"/>
            </w:tcMar>
            <w:vAlign w:val="center"/>
          </w:tcPr>
          <w:p w14:paraId="084CDC59">
            <w:pPr>
              <w:jc w:val="both"/>
              <w:rPr>
                <w:rFonts w:hint="default" w:ascii="Times New Roman" w:hAnsi="Times New Roman" w:cs="Times New Roman"/>
                <w:sz w:val="20"/>
                <w:szCs w:val="20"/>
              </w:rPr>
            </w:pPr>
          </w:p>
        </w:tc>
        <w:tc>
          <w:tcPr>
            <w:tcW w:w="1455" w:type="dxa"/>
            <w:vMerge w:val="continue"/>
            <w:tcBorders>
              <w:top w:val="single" w:color="auto" w:sz="6" w:space="0"/>
              <w:left w:val="single" w:color="auto" w:sz="6" w:space="0"/>
              <w:bottom w:val="single" w:color="auto" w:sz="6" w:space="0"/>
              <w:right w:val="single" w:color="auto" w:sz="6" w:space="0"/>
            </w:tcBorders>
            <w:shd w:val="clear" w:color="auto" w:fill="B8CCE4"/>
            <w:tcMar>
              <w:top w:w="0" w:type="dxa"/>
              <w:left w:w="108" w:type="dxa"/>
              <w:bottom w:w="0" w:type="dxa"/>
              <w:right w:w="108" w:type="dxa"/>
            </w:tcMar>
            <w:vAlign w:val="center"/>
          </w:tcPr>
          <w:p w14:paraId="13C64D34">
            <w:pPr>
              <w:jc w:val="both"/>
              <w:rPr>
                <w:rFonts w:hint="default" w:ascii="Times New Roman" w:hAnsi="Times New Roman" w:cs="Times New Roman"/>
                <w:sz w:val="20"/>
                <w:szCs w:val="20"/>
              </w:rPr>
            </w:pPr>
          </w:p>
        </w:tc>
        <w:tc>
          <w:tcPr>
            <w:tcW w:w="1616" w:type="dxa"/>
            <w:vMerge w:val="continue"/>
            <w:tcBorders>
              <w:top w:val="single" w:color="auto" w:sz="6" w:space="0"/>
              <w:left w:val="single" w:color="auto" w:sz="6" w:space="0"/>
              <w:bottom w:val="single" w:color="auto" w:sz="6" w:space="0"/>
              <w:right w:val="single" w:color="auto" w:sz="6" w:space="0"/>
            </w:tcBorders>
            <w:shd w:val="clear" w:color="auto" w:fill="B8CCE4"/>
            <w:tcMar>
              <w:top w:w="0" w:type="dxa"/>
              <w:left w:w="108" w:type="dxa"/>
              <w:bottom w:w="0" w:type="dxa"/>
              <w:right w:w="108" w:type="dxa"/>
            </w:tcMar>
            <w:vAlign w:val="center"/>
          </w:tcPr>
          <w:p w14:paraId="0AE349A4">
            <w:pPr>
              <w:jc w:val="both"/>
              <w:rPr>
                <w:rFonts w:hint="default" w:ascii="Times New Roman" w:hAnsi="Times New Roman" w:cs="Times New Roman"/>
                <w:sz w:val="20"/>
                <w:szCs w:val="20"/>
              </w:rPr>
            </w:pPr>
          </w:p>
        </w:tc>
        <w:tc>
          <w:tcPr>
            <w:tcW w:w="997" w:type="dxa"/>
            <w:vMerge w:val="continue"/>
            <w:tcBorders>
              <w:top w:val="single" w:color="auto" w:sz="6" w:space="0"/>
              <w:left w:val="single" w:color="auto" w:sz="6" w:space="0"/>
              <w:bottom w:val="single" w:color="auto" w:sz="6" w:space="0"/>
              <w:right w:val="single" w:color="auto" w:sz="6" w:space="0"/>
            </w:tcBorders>
            <w:shd w:val="clear" w:color="auto" w:fill="B8CCE4"/>
            <w:tcMar>
              <w:top w:w="0" w:type="dxa"/>
              <w:left w:w="108" w:type="dxa"/>
              <w:bottom w:w="0" w:type="dxa"/>
              <w:right w:w="108" w:type="dxa"/>
            </w:tcMar>
            <w:vAlign w:val="center"/>
          </w:tcPr>
          <w:p w14:paraId="258D2BF7">
            <w:pPr>
              <w:jc w:val="both"/>
              <w:rPr>
                <w:rFonts w:hint="default" w:ascii="Times New Roman" w:hAnsi="Times New Roman" w:cs="Times New Roman"/>
                <w:sz w:val="20"/>
                <w:szCs w:val="20"/>
              </w:rPr>
            </w:pPr>
          </w:p>
        </w:tc>
        <w:tc>
          <w:tcPr>
            <w:tcW w:w="1406" w:type="dxa"/>
            <w:gridSpan w:val="2"/>
            <w:tcBorders>
              <w:top w:val="nil"/>
              <w:left w:val="single" w:color="auto" w:sz="6" w:space="0"/>
              <w:bottom w:val="single" w:color="auto" w:sz="6" w:space="0"/>
              <w:right w:val="single" w:color="auto" w:sz="6" w:space="0"/>
            </w:tcBorders>
            <w:shd w:val="clear" w:color="auto" w:fill="B8CCE4"/>
            <w:tcMar>
              <w:top w:w="0" w:type="dxa"/>
              <w:left w:w="108" w:type="dxa"/>
              <w:bottom w:w="0" w:type="dxa"/>
              <w:right w:w="108" w:type="dxa"/>
            </w:tcMar>
            <w:vAlign w:val="center"/>
          </w:tcPr>
          <w:p w14:paraId="0EEED7A6">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1"/>
                <w:szCs w:val="21"/>
                <w:bdr w:val="none" w:color="auto" w:sz="0" w:space="0"/>
              </w:rPr>
              <w:t>一万元及以下（含）</w:t>
            </w:r>
          </w:p>
        </w:tc>
        <w:tc>
          <w:tcPr>
            <w:tcW w:w="1621" w:type="dxa"/>
            <w:gridSpan w:val="2"/>
            <w:tcBorders>
              <w:top w:val="single" w:color="auto" w:sz="6" w:space="0"/>
              <w:left w:val="single" w:color="auto" w:sz="6" w:space="0"/>
              <w:bottom w:val="single" w:color="auto" w:sz="6" w:space="0"/>
              <w:right w:val="single" w:color="auto" w:sz="6" w:space="0"/>
            </w:tcBorders>
            <w:shd w:val="clear" w:color="auto" w:fill="B8CCE4"/>
            <w:tcMar>
              <w:top w:w="0" w:type="dxa"/>
              <w:left w:w="108" w:type="dxa"/>
              <w:bottom w:w="0" w:type="dxa"/>
              <w:right w:w="108" w:type="dxa"/>
            </w:tcMar>
            <w:vAlign w:val="center"/>
          </w:tcPr>
          <w:p w14:paraId="6D128378">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1"/>
                <w:szCs w:val="21"/>
                <w:bdr w:val="none" w:color="auto" w:sz="0" w:space="0"/>
              </w:rPr>
              <w:t>一万以上（统筹基金封顶线</w:t>
            </w:r>
            <w:r>
              <w:rPr>
                <w:rFonts w:hint="default" w:ascii="Times New Roman" w:hAnsi="Times New Roman" w:eastAsia="宋体" w:cs="Times New Roman"/>
                <w:sz w:val="21"/>
                <w:szCs w:val="21"/>
                <w:bdr w:val="none" w:color="auto" w:sz="0" w:space="0"/>
              </w:rPr>
              <w:t>8</w:t>
            </w:r>
            <w:r>
              <w:rPr>
                <w:rFonts w:hint="eastAsia" w:ascii="宋体" w:hAnsi="宋体" w:eastAsia="宋体" w:cs="宋体"/>
                <w:sz w:val="21"/>
                <w:szCs w:val="21"/>
                <w:bdr w:val="none" w:color="auto" w:sz="0" w:space="0"/>
              </w:rPr>
              <w:t>万元（含）</w:t>
            </w:r>
          </w:p>
        </w:tc>
        <w:tc>
          <w:tcPr>
            <w:tcW w:w="1286" w:type="dxa"/>
            <w:gridSpan w:val="2"/>
            <w:tcBorders>
              <w:top w:val="single" w:color="auto" w:sz="6" w:space="0"/>
              <w:left w:val="single" w:color="auto" w:sz="6" w:space="0"/>
              <w:bottom w:val="single" w:color="auto" w:sz="6" w:space="0"/>
              <w:right w:val="single" w:color="auto" w:sz="6" w:space="0"/>
            </w:tcBorders>
            <w:shd w:val="clear" w:color="auto" w:fill="B8CCE4"/>
            <w:tcMar>
              <w:top w:w="0" w:type="dxa"/>
              <w:left w:w="108" w:type="dxa"/>
              <w:bottom w:w="0" w:type="dxa"/>
              <w:right w:w="108" w:type="dxa"/>
            </w:tcMar>
            <w:vAlign w:val="center"/>
          </w:tcPr>
          <w:p w14:paraId="406C50EF">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1"/>
                <w:szCs w:val="21"/>
                <w:bdr w:val="none" w:color="auto" w:sz="0" w:space="0"/>
              </w:rPr>
              <w:t>统筹基金封顶线以上（职工大额医疗费用补助封顶线</w:t>
            </w:r>
            <w:r>
              <w:rPr>
                <w:rFonts w:hint="default" w:ascii="Times New Roman" w:hAnsi="Times New Roman" w:eastAsia="宋体" w:cs="Times New Roman"/>
                <w:sz w:val="21"/>
                <w:szCs w:val="21"/>
                <w:bdr w:val="none" w:color="auto" w:sz="0" w:space="0"/>
              </w:rPr>
              <w:t>32</w:t>
            </w:r>
            <w:r>
              <w:rPr>
                <w:rFonts w:hint="eastAsia" w:ascii="宋体" w:hAnsi="宋体" w:eastAsia="宋体" w:cs="宋体"/>
                <w:sz w:val="21"/>
                <w:szCs w:val="21"/>
                <w:bdr w:val="none" w:color="auto" w:sz="0" w:space="0"/>
              </w:rPr>
              <w:t>万元）</w:t>
            </w:r>
          </w:p>
        </w:tc>
      </w:tr>
      <w:tr w14:paraId="3133B2F4">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CellMar>
            <w:top w:w="0" w:type="dxa"/>
            <w:left w:w="0" w:type="dxa"/>
            <w:bottom w:w="0" w:type="dxa"/>
            <w:right w:w="0" w:type="dxa"/>
          </w:tblCellMar>
        </w:tblPrEx>
        <w:trPr>
          <w:trHeight w:val="290" w:hRule="atLeast"/>
        </w:trPr>
        <w:tc>
          <w:tcPr>
            <w:tcW w:w="1273" w:type="dxa"/>
            <w:vMerge w:val="continue"/>
            <w:tcBorders>
              <w:top w:val="nil"/>
              <w:left w:val="single" w:color="auto" w:sz="6" w:space="0"/>
              <w:bottom w:val="single" w:color="auto" w:sz="6" w:space="0"/>
              <w:right w:val="single" w:color="auto" w:sz="6" w:space="0"/>
            </w:tcBorders>
            <w:shd w:val="clear" w:color="auto" w:fill="B8CCE4"/>
            <w:tcMar>
              <w:top w:w="0" w:type="dxa"/>
              <w:left w:w="108" w:type="dxa"/>
              <w:bottom w:w="0" w:type="dxa"/>
              <w:right w:w="108" w:type="dxa"/>
            </w:tcMar>
            <w:vAlign w:val="center"/>
          </w:tcPr>
          <w:p w14:paraId="50B24F70">
            <w:pPr>
              <w:jc w:val="both"/>
              <w:rPr>
                <w:rFonts w:hint="default" w:ascii="Times New Roman" w:hAnsi="Times New Roman" w:cs="Times New Roman"/>
                <w:sz w:val="20"/>
                <w:szCs w:val="20"/>
              </w:rPr>
            </w:pPr>
          </w:p>
        </w:tc>
        <w:tc>
          <w:tcPr>
            <w:tcW w:w="1455" w:type="dxa"/>
            <w:vMerge w:val="continue"/>
            <w:tcBorders>
              <w:top w:val="single" w:color="auto" w:sz="6" w:space="0"/>
              <w:left w:val="single" w:color="auto" w:sz="6" w:space="0"/>
              <w:bottom w:val="single" w:color="auto" w:sz="6" w:space="0"/>
              <w:right w:val="single" w:color="auto" w:sz="6" w:space="0"/>
            </w:tcBorders>
            <w:shd w:val="clear" w:color="auto" w:fill="B8CCE4"/>
            <w:tcMar>
              <w:top w:w="0" w:type="dxa"/>
              <w:left w:w="108" w:type="dxa"/>
              <w:bottom w:w="0" w:type="dxa"/>
              <w:right w:w="108" w:type="dxa"/>
            </w:tcMar>
            <w:vAlign w:val="center"/>
          </w:tcPr>
          <w:p w14:paraId="278BD40B">
            <w:pPr>
              <w:jc w:val="both"/>
              <w:rPr>
                <w:rFonts w:hint="default" w:ascii="Times New Roman" w:hAnsi="Times New Roman" w:cs="Times New Roman"/>
                <w:sz w:val="20"/>
                <w:szCs w:val="20"/>
              </w:rPr>
            </w:pPr>
          </w:p>
        </w:tc>
        <w:tc>
          <w:tcPr>
            <w:tcW w:w="1616" w:type="dxa"/>
            <w:vMerge w:val="continue"/>
            <w:tcBorders>
              <w:top w:val="single" w:color="auto" w:sz="6" w:space="0"/>
              <w:left w:val="single" w:color="auto" w:sz="6" w:space="0"/>
              <w:bottom w:val="single" w:color="auto" w:sz="6" w:space="0"/>
              <w:right w:val="single" w:color="auto" w:sz="6" w:space="0"/>
            </w:tcBorders>
            <w:shd w:val="clear" w:color="auto" w:fill="B8CCE4"/>
            <w:tcMar>
              <w:top w:w="0" w:type="dxa"/>
              <w:left w:w="108" w:type="dxa"/>
              <w:bottom w:w="0" w:type="dxa"/>
              <w:right w:w="108" w:type="dxa"/>
            </w:tcMar>
            <w:vAlign w:val="center"/>
          </w:tcPr>
          <w:p w14:paraId="5800895C">
            <w:pPr>
              <w:jc w:val="both"/>
              <w:rPr>
                <w:rFonts w:hint="default" w:ascii="Times New Roman" w:hAnsi="Times New Roman" w:cs="Times New Roman"/>
                <w:sz w:val="20"/>
                <w:szCs w:val="20"/>
              </w:rPr>
            </w:pPr>
          </w:p>
        </w:tc>
        <w:tc>
          <w:tcPr>
            <w:tcW w:w="997" w:type="dxa"/>
            <w:vMerge w:val="continue"/>
            <w:tcBorders>
              <w:top w:val="single" w:color="auto" w:sz="6" w:space="0"/>
              <w:left w:val="single" w:color="auto" w:sz="6" w:space="0"/>
              <w:bottom w:val="single" w:color="auto" w:sz="6" w:space="0"/>
              <w:right w:val="single" w:color="auto" w:sz="6" w:space="0"/>
            </w:tcBorders>
            <w:shd w:val="clear" w:color="auto" w:fill="B8CCE4"/>
            <w:tcMar>
              <w:top w:w="0" w:type="dxa"/>
              <w:left w:w="108" w:type="dxa"/>
              <w:bottom w:w="0" w:type="dxa"/>
              <w:right w:w="108" w:type="dxa"/>
            </w:tcMar>
            <w:vAlign w:val="center"/>
          </w:tcPr>
          <w:p w14:paraId="6A7F662E">
            <w:pPr>
              <w:jc w:val="both"/>
              <w:rPr>
                <w:rFonts w:hint="default" w:ascii="Times New Roman" w:hAnsi="Times New Roman" w:cs="Times New Roman"/>
                <w:sz w:val="20"/>
                <w:szCs w:val="20"/>
              </w:rPr>
            </w:pPr>
          </w:p>
        </w:tc>
        <w:tc>
          <w:tcPr>
            <w:tcW w:w="722" w:type="dxa"/>
            <w:tcBorders>
              <w:top w:val="nil"/>
              <w:left w:val="single" w:color="auto" w:sz="6" w:space="0"/>
              <w:bottom w:val="single" w:color="auto" w:sz="6" w:space="0"/>
              <w:right w:val="single" w:color="auto" w:sz="6" w:space="0"/>
            </w:tcBorders>
            <w:shd w:val="clear" w:color="auto" w:fill="B8CCE4"/>
            <w:tcMar>
              <w:top w:w="0" w:type="dxa"/>
              <w:left w:w="108" w:type="dxa"/>
              <w:bottom w:w="0" w:type="dxa"/>
              <w:right w:w="108" w:type="dxa"/>
            </w:tcMar>
            <w:vAlign w:val="center"/>
          </w:tcPr>
          <w:p w14:paraId="57348812">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1"/>
                <w:szCs w:val="21"/>
                <w:bdr w:val="none" w:color="auto" w:sz="0" w:space="0"/>
              </w:rPr>
              <w:t>在职</w:t>
            </w:r>
          </w:p>
        </w:tc>
        <w:tc>
          <w:tcPr>
            <w:tcW w:w="684" w:type="dxa"/>
            <w:tcBorders>
              <w:top w:val="nil"/>
              <w:left w:val="single" w:color="auto" w:sz="6" w:space="0"/>
              <w:bottom w:val="single" w:color="auto" w:sz="6" w:space="0"/>
              <w:right w:val="single" w:color="auto" w:sz="6" w:space="0"/>
            </w:tcBorders>
            <w:shd w:val="clear" w:color="auto" w:fill="B8CCE4"/>
            <w:tcMar>
              <w:top w:w="0" w:type="dxa"/>
              <w:left w:w="108" w:type="dxa"/>
              <w:bottom w:w="0" w:type="dxa"/>
              <w:right w:w="108" w:type="dxa"/>
            </w:tcMar>
            <w:vAlign w:val="center"/>
          </w:tcPr>
          <w:p w14:paraId="2C7B6134">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1"/>
                <w:szCs w:val="21"/>
                <w:bdr w:val="none" w:color="auto" w:sz="0" w:space="0"/>
              </w:rPr>
              <w:t>退休</w:t>
            </w:r>
          </w:p>
        </w:tc>
        <w:tc>
          <w:tcPr>
            <w:tcW w:w="709" w:type="dxa"/>
            <w:tcBorders>
              <w:top w:val="nil"/>
              <w:left w:val="single" w:color="auto" w:sz="6" w:space="0"/>
              <w:bottom w:val="single" w:color="auto" w:sz="6" w:space="0"/>
              <w:right w:val="single" w:color="auto" w:sz="6" w:space="0"/>
            </w:tcBorders>
            <w:shd w:val="clear" w:color="auto" w:fill="B8CCE4"/>
            <w:tcMar>
              <w:top w:w="0" w:type="dxa"/>
              <w:left w:w="108" w:type="dxa"/>
              <w:bottom w:w="0" w:type="dxa"/>
              <w:right w:w="108" w:type="dxa"/>
            </w:tcMar>
            <w:vAlign w:val="center"/>
          </w:tcPr>
          <w:p w14:paraId="70D5B4D0">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1"/>
                <w:szCs w:val="21"/>
                <w:bdr w:val="none" w:color="auto" w:sz="0" w:space="0"/>
              </w:rPr>
              <w:t>在职</w:t>
            </w:r>
          </w:p>
        </w:tc>
        <w:tc>
          <w:tcPr>
            <w:tcW w:w="912" w:type="dxa"/>
            <w:tcBorders>
              <w:top w:val="single" w:color="auto" w:sz="6" w:space="0"/>
              <w:left w:val="single" w:color="auto" w:sz="6" w:space="0"/>
              <w:bottom w:val="single" w:color="auto" w:sz="6" w:space="0"/>
              <w:right w:val="single" w:color="auto" w:sz="6" w:space="0"/>
            </w:tcBorders>
            <w:shd w:val="clear" w:color="auto" w:fill="B8CCE4"/>
            <w:tcMar>
              <w:top w:w="0" w:type="dxa"/>
              <w:left w:w="108" w:type="dxa"/>
              <w:bottom w:w="0" w:type="dxa"/>
              <w:right w:w="108" w:type="dxa"/>
            </w:tcMar>
            <w:vAlign w:val="center"/>
          </w:tcPr>
          <w:p w14:paraId="40E35C9C">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1"/>
                <w:szCs w:val="21"/>
                <w:bdr w:val="none" w:color="auto" w:sz="0" w:space="0"/>
              </w:rPr>
              <w:t>退休</w:t>
            </w:r>
          </w:p>
        </w:tc>
        <w:tc>
          <w:tcPr>
            <w:tcW w:w="636" w:type="dxa"/>
            <w:tcBorders>
              <w:top w:val="single" w:color="auto" w:sz="6" w:space="0"/>
              <w:left w:val="single" w:color="auto" w:sz="6" w:space="0"/>
              <w:bottom w:val="single" w:color="auto" w:sz="6" w:space="0"/>
              <w:right w:val="single" w:color="auto" w:sz="6" w:space="0"/>
            </w:tcBorders>
            <w:shd w:val="clear" w:color="auto" w:fill="B8CCE4"/>
            <w:tcMar>
              <w:top w:w="0" w:type="dxa"/>
              <w:left w:w="108" w:type="dxa"/>
              <w:bottom w:w="0" w:type="dxa"/>
              <w:right w:w="108" w:type="dxa"/>
            </w:tcMar>
            <w:vAlign w:val="center"/>
          </w:tcPr>
          <w:p w14:paraId="68D52ABE">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1"/>
                <w:szCs w:val="21"/>
                <w:bdr w:val="none" w:color="auto" w:sz="0" w:space="0"/>
              </w:rPr>
              <w:t>在职</w:t>
            </w:r>
          </w:p>
        </w:tc>
        <w:tc>
          <w:tcPr>
            <w:tcW w:w="650" w:type="dxa"/>
            <w:tcBorders>
              <w:top w:val="single" w:color="auto" w:sz="6" w:space="0"/>
              <w:left w:val="single" w:color="auto" w:sz="6" w:space="0"/>
              <w:bottom w:val="single" w:color="auto" w:sz="6" w:space="0"/>
              <w:right w:val="single" w:color="auto" w:sz="6" w:space="0"/>
            </w:tcBorders>
            <w:shd w:val="clear" w:color="auto" w:fill="B8CCE4"/>
            <w:tcMar>
              <w:top w:w="0" w:type="dxa"/>
              <w:left w:w="108" w:type="dxa"/>
              <w:bottom w:w="0" w:type="dxa"/>
              <w:right w:w="108" w:type="dxa"/>
            </w:tcMar>
            <w:vAlign w:val="center"/>
          </w:tcPr>
          <w:p w14:paraId="0DD2BBFD">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1"/>
                <w:szCs w:val="21"/>
                <w:bdr w:val="none" w:color="auto" w:sz="0" w:space="0"/>
              </w:rPr>
              <w:t>退休</w:t>
            </w:r>
          </w:p>
        </w:tc>
      </w:tr>
      <w:tr w14:paraId="1E9E2FF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20" w:hRule="atLeast"/>
        </w:trPr>
        <w:tc>
          <w:tcPr>
            <w:tcW w:w="1273" w:type="dxa"/>
            <w:vMerge w:val="restart"/>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143C0CC6">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异地安置退休人员、异地长期居住人员、常驻异地工作人员</w:t>
            </w:r>
          </w:p>
        </w:tc>
        <w:tc>
          <w:tcPr>
            <w:tcW w:w="1455" w:type="dxa"/>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504FDE2C">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一级及以下</w:t>
            </w:r>
          </w:p>
        </w:tc>
        <w:tc>
          <w:tcPr>
            <w:tcW w:w="1616" w:type="dxa"/>
            <w:vMerge w:val="restart"/>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76365637">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职工医保门诊慢病和特殊病年度内合并计算一次起付线为</w:t>
            </w:r>
            <w:r>
              <w:rPr>
                <w:rFonts w:hint="default" w:ascii="Times New Roman" w:hAnsi="Times New Roman" w:cs="Times New Roman"/>
                <w:sz w:val="24"/>
                <w:szCs w:val="24"/>
                <w:bdr w:val="none" w:color="auto" w:sz="0" w:space="0"/>
              </w:rPr>
              <w:t>1200</w:t>
            </w:r>
            <w:r>
              <w:rPr>
                <w:rFonts w:hint="eastAsia" w:ascii="宋体" w:hAnsi="宋体" w:eastAsia="宋体" w:cs="宋体"/>
                <w:sz w:val="24"/>
                <w:szCs w:val="24"/>
                <w:bdr w:val="none" w:color="auto" w:sz="0" w:space="0"/>
              </w:rPr>
              <w:t>元</w:t>
            </w:r>
          </w:p>
        </w:tc>
        <w:tc>
          <w:tcPr>
            <w:tcW w:w="997" w:type="dxa"/>
            <w:vMerge w:val="restart"/>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1A6EE973">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65%</w:t>
            </w:r>
          </w:p>
        </w:tc>
        <w:tc>
          <w:tcPr>
            <w:tcW w:w="722" w:type="dxa"/>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1F0594BD">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93%</w:t>
            </w:r>
          </w:p>
        </w:tc>
        <w:tc>
          <w:tcPr>
            <w:tcW w:w="684" w:type="dxa"/>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5670372C">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95%</w:t>
            </w:r>
          </w:p>
        </w:tc>
        <w:tc>
          <w:tcPr>
            <w:tcW w:w="709" w:type="dxa"/>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07C177F6">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98%</w:t>
            </w:r>
          </w:p>
        </w:tc>
        <w:tc>
          <w:tcPr>
            <w:tcW w:w="912" w:type="dxa"/>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5216AD43">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98.5%</w:t>
            </w:r>
          </w:p>
        </w:tc>
        <w:tc>
          <w:tcPr>
            <w:tcW w:w="1286" w:type="dxa"/>
            <w:gridSpan w:val="2"/>
            <w:vMerge w:val="restart"/>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50659036">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90%</w:t>
            </w:r>
          </w:p>
        </w:tc>
      </w:tr>
      <w:tr w14:paraId="1D5B8352">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476" w:hRule="atLeast"/>
        </w:trPr>
        <w:tc>
          <w:tcPr>
            <w:tcW w:w="1273" w:type="dxa"/>
            <w:vMerge w:val="continue"/>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3FDE6D1F">
            <w:pPr>
              <w:jc w:val="both"/>
              <w:rPr>
                <w:rFonts w:hint="default" w:ascii="Times New Roman" w:hAnsi="Times New Roman" w:cs="Times New Roman"/>
                <w:sz w:val="20"/>
                <w:szCs w:val="20"/>
              </w:rPr>
            </w:pPr>
          </w:p>
        </w:tc>
        <w:tc>
          <w:tcPr>
            <w:tcW w:w="1455" w:type="dxa"/>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569ED74A">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二级</w:t>
            </w:r>
          </w:p>
        </w:tc>
        <w:tc>
          <w:tcPr>
            <w:tcW w:w="1616" w:type="dxa"/>
            <w:vMerge w:val="continue"/>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3DC71605">
            <w:pPr>
              <w:jc w:val="both"/>
              <w:rPr>
                <w:rFonts w:hint="default" w:ascii="Times New Roman" w:hAnsi="Times New Roman" w:cs="Times New Roman"/>
                <w:sz w:val="20"/>
                <w:szCs w:val="20"/>
              </w:rPr>
            </w:pPr>
          </w:p>
        </w:tc>
        <w:tc>
          <w:tcPr>
            <w:tcW w:w="997" w:type="dxa"/>
            <w:vMerge w:val="continue"/>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3F24F28B">
            <w:pPr>
              <w:jc w:val="both"/>
              <w:rPr>
                <w:rFonts w:hint="default" w:ascii="Times New Roman" w:hAnsi="Times New Roman" w:cs="Times New Roman"/>
                <w:sz w:val="20"/>
                <w:szCs w:val="20"/>
              </w:rPr>
            </w:pPr>
          </w:p>
        </w:tc>
        <w:tc>
          <w:tcPr>
            <w:tcW w:w="722" w:type="dxa"/>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7934F0D5">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88%</w:t>
            </w:r>
          </w:p>
        </w:tc>
        <w:tc>
          <w:tcPr>
            <w:tcW w:w="684" w:type="dxa"/>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210DB7EC">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90%</w:t>
            </w:r>
          </w:p>
        </w:tc>
        <w:tc>
          <w:tcPr>
            <w:tcW w:w="709" w:type="dxa"/>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7BBCB905">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94%</w:t>
            </w:r>
          </w:p>
        </w:tc>
        <w:tc>
          <w:tcPr>
            <w:tcW w:w="912" w:type="dxa"/>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07798E80">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95%</w:t>
            </w:r>
          </w:p>
        </w:tc>
        <w:tc>
          <w:tcPr>
            <w:tcW w:w="1286" w:type="dxa"/>
            <w:gridSpan w:val="2"/>
            <w:vMerge w:val="continue"/>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30F7F6ED">
            <w:pPr>
              <w:jc w:val="both"/>
              <w:rPr>
                <w:rFonts w:hint="default" w:ascii="Times New Roman" w:hAnsi="Times New Roman" w:cs="Times New Roman"/>
                <w:sz w:val="20"/>
                <w:szCs w:val="20"/>
              </w:rPr>
            </w:pPr>
          </w:p>
        </w:tc>
      </w:tr>
      <w:tr w14:paraId="4213C13A">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16" w:hRule="atLeast"/>
        </w:trPr>
        <w:tc>
          <w:tcPr>
            <w:tcW w:w="1273" w:type="dxa"/>
            <w:vMerge w:val="continue"/>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294DDC62">
            <w:pPr>
              <w:jc w:val="both"/>
              <w:rPr>
                <w:rFonts w:hint="default" w:ascii="Times New Roman" w:hAnsi="Times New Roman" w:cs="Times New Roman"/>
                <w:sz w:val="20"/>
                <w:szCs w:val="20"/>
              </w:rPr>
            </w:pPr>
          </w:p>
        </w:tc>
        <w:tc>
          <w:tcPr>
            <w:tcW w:w="1455" w:type="dxa"/>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71706FAA">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三级</w:t>
            </w:r>
          </w:p>
        </w:tc>
        <w:tc>
          <w:tcPr>
            <w:tcW w:w="1616" w:type="dxa"/>
            <w:vMerge w:val="continue"/>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0C9B3763">
            <w:pPr>
              <w:jc w:val="both"/>
              <w:rPr>
                <w:rFonts w:hint="default" w:ascii="Times New Roman" w:hAnsi="Times New Roman" w:cs="Times New Roman"/>
                <w:sz w:val="20"/>
                <w:szCs w:val="20"/>
              </w:rPr>
            </w:pPr>
          </w:p>
        </w:tc>
        <w:tc>
          <w:tcPr>
            <w:tcW w:w="997" w:type="dxa"/>
            <w:vMerge w:val="continue"/>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5A6F9D8E">
            <w:pPr>
              <w:jc w:val="both"/>
              <w:rPr>
                <w:rFonts w:hint="default" w:ascii="Times New Roman" w:hAnsi="Times New Roman" w:cs="Times New Roman"/>
                <w:sz w:val="20"/>
                <w:szCs w:val="20"/>
              </w:rPr>
            </w:pPr>
          </w:p>
        </w:tc>
        <w:tc>
          <w:tcPr>
            <w:tcW w:w="722" w:type="dxa"/>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7228969F">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85%</w:t>
            </w:r>
          </w:p>
        </w:tc>
        <w:tc>
          <w:tcPr>
            <w:tcW w:w="684" w:type="dxa"/>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672E09D8">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88%</w:t>
            </w:r>
          </w:p>
        </w:tc>
        <w:tc>
          <w:tcPr>
            <w:tcW w:w="709" w:type="dxa"/>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146F700B">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90%</w:t>
            </w:r>
          </w:p>
        </w:tc>
        <w:tc>
          <w:tcPr>
            <w:tcW w:w="912" w:type="dxa"/>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530DC908">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92%</w:t>
            </w:r>
          </w:p>
        </w:tc>
        <w:tc>
          <w:tcPr>
            <w:tcW w:w="1286" w:type="dxa"/>
            <w:gridSpan w:val="2"/>
            <w:vMerge w:val="continue"/>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4446C82F">
            <w:pPr>
              <w:jc w:val="both"/>
              <w:rPr>
                <w:rFonts w:hint="default" w:ascii="Times New Roman" w:hAnsi="Times New Roman" w:cs="Times New Roman"/>
                <w:sz w:val="20"/>
                <w:szCs w:val="20"/>
              </w:rPr>
            </w:pPr>
          </w:p>
        </w:tc>
      </w:tr>
      <w:tr w14:paraId="3973F83C">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16" w:hRule="atLeast"/>
        </w:trPr>
        <w:tc>
          <w:tcPr>
            <w:tcW w:w="1273" w:type="dxa"/>
            <w:vMerge w:val="restart"/>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2076A186">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急诊及转诊人员</w:t>
            </w:r>
          </w:p>
          <w:p w14:paraId="72183D8D">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（省内）</w:t>
            </w:r>
          </w:p>
        </w:tc>
        <w:tc>
          <w:tcPr>
            <w:tcW w:w="1455" w:type="dxa"/>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672ADCBD">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一级及以下</w:t>
            </w:r>
          </w:p>
        </w:tc>
        <w:tc>
          <w:tcPr>
            <w:tcW w:w="1616" w:type="dxa"/>
            <w:vMerge w:val="restart"/>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2231540B">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宋体" w:hAnsi="宋体" w:eastAsia="宋体" w:cs="宋体"/>
                <w:sz w:val="24"/>
                <w:szCs w:val="24"/>
                <w:bdr w:val="none" w:color="auto" w:sz="0" w:space="0"/>
              </w:rPr>
              <w:t>职工医保门诊慢病和特殊病年度内合并计算一次起付线为</w:t>
            </w:r>
            <w:r>
              <w:rPr>
                <w:rFonts w:hint="default" w:ascii="Times New Roman" w:hAnsi="Times New Roman" w:cs="Times New Roman"/>
                <w:sz w:val="24"/>
                <w:szCs w:val="24"/>
                <w:bdr w:val="none" w:color="auto" w:sz="0" w:space="0"/>
              </w:rPr>
              <w:t>1200</w:t>
            </w:r>
            <w:r>
              <w:rPr>
                <w:rFonts w:hint="eastAsia" w:ascii="宋体" w:hAnsi="宋体" w:eastAsia="宋体" w:cs="宋体"/>
                <w:sz w:val="24"/>
                <w:szCs w:val="24"/>
                <w:bdr w:val="none" w:color="auto" w:sz="0" w:space="0"/>
              </w:rPr>
              <w:t>元</w:t>
            </w:r>
          </w:p>
        </w:tc>
        <w:tc>
          <w:tcPr>
            <w:tcW w:w="997" w:type="dxa"/>
            <w:vMerge w:val="restart"/>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1CF406F3">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60%</w:t>
            </w:r>
          </w:p>
        </w:tc>
        <w:tc>
          <w:tcPr>
            <w:tcW w:w="722" w:type="dxa"/>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625C7215">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88%</w:t>
            </w:r>
          </w:p>
        </w:tc>
        <w:tc>
          <w:tcPr>
            <w:tcW w:w="684" w:type="dxa"/>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5135616F">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90%</w:t>
            </w:r>
          </w:p>
        </w:tc>
        <w:tc>
          <w:tcPr>
            <w:tcW w:w="709" w:type="dxa"/>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09CDA906">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93%</w:t>
            </w:r>
          </w:p>
        </w:tc>
        <w:tc>
          <w:tcPr>
            <w:tcW w:w="912" w:type="dxa"/>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7F43C0A2">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93.5%</w:t>
            </w:r>
          </w:p>
        </w:tc>
        <w:tc>
          <w:tcPr>
            <w:tcW w:w="1286" w:type="dxa"/>
            <w:gridSpan w:val="2"/>
            <w:vMerge w:val="restart"/>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3DC9EF3E">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85%</w:t>
            </w:r>
          </w:p>
        </w:tc>
      </w:tr>
      <w:tr w14:paraId="150E9D6A">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16" w:hRule="atLeast"/>
        </w:trPr>
        <w:tc>
          <w:tcPr>
            <w:tcW w:w="1273" w:type="dxa"/>
            <w:vMerge w:val="continue"/>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25ADD16E">
            <w:pPr>
              <w:jc w:val="both"/>
              <w:rPr>
                <w:rFonts w:hint="default" w:ascii="Times New Roman" w:hAnsi="Times New Roman" w:cs="Times New Roman"/>
                <w:sz w:val="20"/>
                <w:szCs w:val="20"/>
              </w:rPr>
            </w:pPr>
          </w:p>
        </w:tc>
        <w:tc>
          <w:tcPr>
            <w:tcW w:w="1455" w:type="dxa"/>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07EF7A3E">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二级</w:t>
            </w:r>
          </w:p>
        </w:tc>
        <w:tc>
          <w:tcPr>
            <w:tcW w:w="1616" w:type="dxa"/>
            <w:vMerge w:val="continue"/>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3163720E">
            <w:pPr>
              <w:jc w:val="both"/>
              <w:rPr>
                <w:rFonts w:hint="default" w:ascii="Times New Roman" w:hAnsi="Times New Roman" w:cs="Times New Roman"/>
                <w:sz w:val="20"/>
                <w:szCs w:val="20"/>
              </w:rPr>
            </w:pPr>
          </w:p>
        </w:tc>
        <w:tc>
          <w:tcPr>
            <w:tcW w:w="997" w:type="dxa"/>
            <w:vMerge w:val="continue"/>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261C8CC4">
            <w:pPr>
              <w:jc w:val="both"/>
              <w:rPr>
                <w:rFonts w:hint="default" w:ascii="Times New Roman" w:hAnsi="Times New Roman" w:cs="Times New Roman"/>
                <w:sz w:val="20"/>
                <w:szCs w:val="20"/>
              </w:rPr>
            </w:pPr>
          </w:p>
        </w:tc>
        <w:tc>
          <w:tcPr>
            <w:tcW w:w="722" w:type="dxa"/>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74D57AFC">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83%</w:t>
            </w:r>
          </w:p>
        </w:tc>
        <w:tc>
          <w:tcPr>
            <w:tcW w:w="684" w:type="dxa"/>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0E2C9AD9">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85%</w:t>
            </w:r>
          </w:p>
        </w:tc>
        <w:tc>
          <w:tcPr>
            <w:tcW w:w="709" w:type="dxa"/>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5289930C">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89%</w:t>
            </w:r>
          </w:p>
        </w:tc>
        <w:tc>
          <w:tcPr>
            <w:tcW w:w="912" w:type="dxa"/>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5DBE96D7">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90%</w:t>
            </w:r>
          </w:p>
        </w:tc>
        <w:tc>
          <w:tcPr>
            <w:tcW w:w="1286" w:type="dxa"/>
            <w:gridSpan w:val="2"/>
            <w:vMerge w:val="continue"/>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0EF75FA4">
            <w:pPr>
              <w:jc w:val="both"/>
              <w:rPr>
                <w:rFonts w:hint="default" w:ascii="Times New Roman" w:hAnsi="Times New Roman" w:cs="Times New Roman"/>
                <w:sz w:val="20"/>
                <w:szCs w:val="20"/>
              </w:rPr>
            </w:pPr>
          </w:p>
        </w:tc>
      </w:tr>
      <w:tr w14:paraId="5501800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16" w:hRule="atLeast"/>
        </w:trPr>
        <w:tc>
          <w:tcPr>
            <w:tcW w:w="1273" w:type="dxa"/>
            <w:vMerge w:val="continue"/>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27D28A07">
            <w:pPr>
              <w:jc w:val="both"/>
              <w:rPr>
                <w:rFonts w:hint="default" w:ascii="Times New Roman" w:hAnsi="Times New Roman" w:cs="Times New Roman"/>
                <w:sz w:val="20"/>
                <w:szCs w:val="20"/>
              </w:rPr>
            </w:pPr>
          </w:p>
        </w:tc>
        <w:tc>
          <w:tcPr>
            <w:tcW w:w="1455" w:type="dxa"/>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1FBADBD9">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三级</w:t>
            </w:r>
          </w:p>
        </w:tc>
        <w:tc>
          <w:tcPr>
            <w:tcW w:w="1616" w:type="dxa"/>
            <w:vMerge w:val="continue"/>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69A192C5">
            <w:pPr>
              <w:jc w:val="both"/>
              <w:rPr>
                <w:rFonts w:hint="default" w:ascii="Times New Roman" w:hAnsi="Times New Roman" w:cs="Times New Roman"/>
                <w:sz w:val="20"/>
                <w:szCs w:val="20"/>
              </w:rPr>
            </w:pPr>
          </w:p>
        </w:tc>
        <w:tc>
          <w:tcPr>
            <w:tcW w:w="997" w:type="dxa"/>
            <w:vMerge w:val="continue"/>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754637E4">
            <w:pPr>
              <w:jc w:val="both"/>
              <w:rPr>
                <w:rFonts w:hint="default" w:ascii="Times New Roman" w:hAnsi="Times New Roman" w:cs="Times New Roman"/>
                <w:sz w:val="20"/>
                <w:szCs w:val="20"/>
              </w:rPr>
            </w:pPr>
          </w:p>
        </w:tc>
        <w:tc>
          <w:tcPr>
            <w:tcW w:w="722" w:type="dxa"/>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7EC54525">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80%</w:t>
            </w:r>
          </w:p>
        </w:tc>
        <w:tc>
          <w:tcPr>
            <w:tcW w:w="684" w:type="dxa"/>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54A74E58">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83%</w:t>
            </w:r>
          </w:p>
        </w:tc>
        <w:tc>
          <w:tcPr>
            <w:tcW w:w="709" w:type="dxa"/>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20C5003A">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85%</w:t>
            </w:r>
          </w:p>
        </w:tc>
        <w:tc>
          <w:tcPr>
            <w:tcW w:w="912" w:type="dxa"/>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0063584F">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87%</w:t>
            </w:r>
          </w:p>
        </w:tc>
        <w:tc>
          <w:tcPr>
            <w:tcW w:w="1286" w:type="dxa"/>
            <w:gridSpan w:val="2"/>
            <w:vMerge w:val="continue"/>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267D4151">
            <w:pPr>
              <w:jc w:val="both"/>
              <w:rPr>
                <w:rFonts w:hint="default" w:ascii="Times New Roman" w:hAnsi="Times New Roman" w:cs="Times New Roman"/>
                <w:sz w:val="20"/>
                <w:szCs w:val="20"/>
              </w:rPr>
            </w:pPr>
          </w:p>
        </w:tc>
      </w:tr>
      <w:tr w14:paraId="5F8EBC6C">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16" w:hRule="atLeast"/>
        </w:trPr>
        <w:tc>
          <w:tcPr>
            <w:tcW w:w="1273" w:type="dxa"/>
            <w:vMerge w:val="restart"/>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3A3C8B43">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急诊及转诊人员</w:t>
            </w:r>
          </w:p>
          <w:p w14:paraId="3C9B7C03">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（省外）</w:t>
            </w:r>
          </w:p>
        </w:tc>
        <w:tc>
          <w:tcPr>
            <w:tcW w:w="1455" w:type="dxa"/>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0DE58CBA">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一级及以下</w:t>
            </w:r>
          </w:p>
        </w:tc>
        <w:tc>
          <w:tcPr>
            <w:tcW w:w="1616" w:type="dxa"/>
            <w:vMerge w:val="continue"/>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110CB831">
            <w:pPr>
              <w:jc w:val="both"/>
              <w:rPr>
                <w:rFonts w:hint="default" w:ascii="Times New Roman" w:hAnsi="Times New Roman" w:cs="Times New Roman"/>
                <w:sz w:val="20"/>
                <w:szCs w:val="20"/>
              </w:rPr>
            </w:pPr>
          </w:p>
        </w:tc>
        <w:tc>
          <w:tcPr>
            <w:tcW w:w="997" w:type="dxa"/>
            <w:vMerge w:val="restart"/>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04254FE1">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55%</w:t>
            </w:r>
          </w:p>
        </w:tc>
        <w:tc>
          <w:tcPr>
            <w:tcW w:w="722" w:type="dxa"/>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66123A99">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83%</w:t>
            </w:r>
          </w:p>
        </w:tc>
        <w:tc>
          <w:tcPr>
            <w:tcW w:w="684" w:type="dxa"/>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465078FA">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85%</w:t>
            </w:r>
          </w:p>
        </w:tc>
        <w:tc>
          <w:tcPr>
            <w:tcW w:w="709" w:type="dxa"/>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52A44D01">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88%</w:t>
            </w:r>
          </w:p>
        </w:tc>
        <w:tc>
          <w:tcPr>
            <w:tcW w:w="912" w:type="dxa"/>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6A4FDD31">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88.5%</w:t>
            </w:r>
          </w:p>
        </w:tc>
        <w:tc>
          <w:tcPr>
            <w:tcW w:w="1286" w:type="dxa"/>
            <w:gridSpan w:val="2"/>
            <w:vMerge w:val="restart"/>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07BA2F6E">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80%</w:t>
            </w:r>
          </w:p>
        </w:tc>
      </w:tr>
      <w:tr w14:paraId="770A12D2">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16" w:hRule="atLeast"/>
        </w:trPr>
        <w:tc>
          <w:tcPr>
            <w:tcW w:w="1273" w:type="dxa"/>
            <w:vMerge w:val="continue"/>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4F29E487">
            <w:pPr>
              <w:jc w:val="both"/>
              <w:rPr>
                <w:rFonts w:hint="default" w:ascii="Times New Roman" w:hAnsi="Times New Roman" w:cs="Times New Roman"/>
                <w:sz w:val="20"/>
                <w:szCs w:val="20"/>
              </w:rPr>
            </w:pPr>
          </w:p>
        </w:tc>
        <w:tc>
          <w:tcPr>
            <w:tcW w:w="1455" w:type="dxa"/>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261DB66A">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二级</w:t>
            </w:r>
          </w:p>
        </w:tc>
        <w:tc>
          <w:tcPr>
            <w:tcW w:w="1616" w:type="dxa"/>
            <w:vMerge w:val="continue"/>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34436B21">
            <w:pPr>
              <w:jc w:val="both"/>
              <w:rPr>
                <w:rFonts w:hint="default" w:ascii="Times New Roman" w:hAnsi="Times New Roman" w:cs="Times New Roman"/>
                <w:sz w:val="20"/>
                <w:szCs w:val="20"/>
              </w:rPr>
            </w:pPr>
          </w:p>
        </w:tc>
        <w:tc>
          <w:tcPr>
            <w:tcW w:w="997" w:type="dxa"/>
            <w:vMerge w:val="continue"/>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52EF098E">
            <w:pPr>
              <w:jc w:val="both"/>
              <w:rPr>
                <w:rFonts w:hint="default" w:ascii="Times New Roman" w:hAnsi="Times New Roman" w:cs="Times New Roman"/>
                <w:sz w:val="20"/>
                <w:szCs w:val="20"/>
              </w:rPr>
            </w:pPr>
          </w:p>
        </w:tc>
        <w:tc>
          <w:tcPr>
            <w:tcW w:w="722" w:type="dxa"/>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2E940A3B">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78%</w:t>
            </w:r>
          </w:p>
        </w:tc>
        <w:tc>
          <w:tcPr>
            <w:tcW w:w="684" w:type="dxa"/>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3D54AB5E">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80%</w:t>
            </w:r>
          </w:p>
        </w:tc>
        <w:tc>
          <w:tcPr>
            <w:tcW w:w="709" w:type="dxa"/>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5E389D5A">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84%</w:t>
            </w:r>
          </w:p>
        </w:tc>
        <w:tc>
          <w:tcPr>
            <w:tcW w:w="912" w:type="dxa"/>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1142613C">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85%</w:t>
            </w:r>
          </w:p>
        </w:tc>
        <w:tc>
          <w:tcPr>
            <w:tcW w:w="1286" w:type="dxa"/>
            <w:gridSpan w:val="2"/>
            <w:vMerge w:val="continue"/>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6F0FB205">
            <w:pPr>
              <w:jc w:val="both"/>
              <w:rPr>
                <w:rFonts w:hint="default" w:ascii="Times New Roman" w:hAnsi="Times New Roman" w:cs="Times New Roman"/>
                <w:sz w:val="20"/>
                <w:szCs w:val="20"/>
              </w:rPr>
            </w:pPr>
          </w:p>
        </w:tc>
      </w:tr>
      <w:tr w14:paraId="00236AE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16" w:hRule="atLeast"/>
        </w:trPr>
        <w:tc>
          <w:tcPr>
            <w:tcW w:w="1273" w:type="dxa"/>
            <w:vMerge w:val="continue"/>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4C63ADA4">
            <w:pPr>
              <w:jc w:val="both"/>
              <w:rPr>
                <w:rFonts w:hint="default" w:ascii="Times New Roman" w:hAnsi="Times New Roman" w:cs="Times New Roman"/>
                <w:sz w:val="20"/>
                <w:szCs w:val="20"/>
              </w:rPr>
            </w:pPr>
          </w:p>
        </w:tc>
        <w:tc>
          <w:tcPr>
            <w:tcW w:w="1455" w:type="dxa"/>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43D7B8DA">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三级</w:t>
            </w:r>
          </w:p>
        </w:tc>
        <w:tc>
          <w:tcPr>
            <w:tcW w:w="1616" w:type="dxa"/>
            <w:vMerge w:val="continue"/>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79FC6F54">
            <w:pPr>
              <w:jc w:val="both"/>
              <w:rPr>
                <w:rFonts w:hint="default" w:ascii="Times New Roman" w:hAnsi="Times New Roman" w:cs="Times New Roman"/>
                <w:sz w:val="20"/>
                <w:szCs w:val="20"/>
              </w:rPr>
            </w:pPr>
          </w:p>
        </w:tc>
        <w:tc>
          <w:tcPr>
            <w:tcW w:w="997" w:type="dxa"/>
            <w:vMerge w:val="continue"/>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347C0DAE">
            <w:pPr>
              <w:jc w:val="both"/>
              <w:rPr>
                <w:rFonts w:hint="default" w:ascii="Times New Roman" w:hAnsi="Times New Roman" w:cs="Times New Roman"/>
                <w:sz w:val="20"/>
                <w:szCs w:val="20"/>
              </w:rPr>
            </w:pPr>
          </w:p>
        </w:tc>
        <w:tc>
          <w:tcPr>
            <w:tcW w:w="722" w:type="dxa"/>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0743FE30">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75%</w:t>
            </w:r>
          </w:p>
        </w:tc>
        <w:tc>
          <w:tcPr>
            <w:tcW w:w="684" w:type="dxa"/>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695701C3">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78%</w:t>
            </w:r>
          </w:p>
        </w:tc>
        <w:tc>
          <w:tcPr>
            <w:tcW w:w="709" w:type="dxa"/>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21107254">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80%</w:t>
            </w:r>
          </w:p>
        </w:tc>
        <w:tc>
          <w:tcPr>
            <w:tcW w:w="912" w:type="dxa"/>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00573AD4">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82%</w:t>
            </w:r>
          </w:p>
        </w:tc>
        <w:tc>
          <w:tcPr>
            <w:tcW w:w="1286" w:type="dxa"/>
            <w:gridSpan w:val="2"/>
            <w:vMerge w:val="continue"/>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692F6601">
            <w:pPr>
              <w:jc w:val="both"/>
              <w:rPr>
                <w:rFonts w:hint="default" w:ascii="Times New Roman" w:hAnsi="Times New Roman" w:cs="Times New Roman"/>
                <w:sz w:val="20"/>
                <w:szCs w:val="20"/>
              </w:rPr>
            </w:pPr>
          </w:p>
        </w:tc>
      </w:tr>
      <w:tr w14:paraId="6F416A29">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16" w:hRule="atLeast"/>
        </w:trPr>
        <w:tc>
          <w:tcPr>
            <w:tcW w:w="1273" w:type="dxa"/>
            <w:vMerge w:val="restart"/>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6F30EB8F">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其他临时外出就医人员</w:t>
            </w:r>
          </w:p>
          <w:p w14:paraId="1AE3A40F">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（省内）</w:t>
            </w:r>
          </w:p>
        </w:tc>
        <w:tc>
          <w:tcPr>
            <w:tcW w:w="1455" w:type="dxa"/>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073F4373">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一级及以下</w:t>
            </w:r>
          </w:p>
        </w:tc>
        <w:tc>
          <w:tcPr>
            <w:tcW w:w="1616" w:type="dxa"/>
            <w:vMerge w:val="restart"/>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79117EA7">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职工医保门诊慢病和特殊病年度内合并计算一次起付线为</w:t>
            </w:r>
            <w:r>
              <w:rPr>
                <w:rFonts w:hint="default" w:ascii="Times New Roman" w:hAnsi="Times New Roman" w:cs="Times New Roman"/>
                <w:sz w:val="24"/>
                <w:szCs w:val="24"/>
                <w:bdr w:val="none" w:color="auto" w:sz="0" w:space="0"/>
              </w:rPr>
              <w:t>1200</w:t>
            </w:r>
            <w:r>
              <w:rPr>
                <w:rFonts w:hint="eastAsia" w:ascii="宋体" w:hAnsi="宋体" w:eastAsia="宋体" w:cs="宋体"/>
                <w:sz w:val="24"/>
                <w:szCs w:val="24"/>
                <w:bdr w:val="none" w:color="auto" w:sz="0" w:space="0"/>
              </w:rPr>
              <w:t>元</w:t>
            </w:r>
          </w:p>
        </w:tc>
        <w:tc>
          <w:tcPr>
            <w:tcW w:w="997" w:type="dxa"/>
            <w:vMerge w:val="restart"/>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6DC4D865">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50%</w:t>
            </w:r>
          </w:p>
        </w:tc>
        <w:tc>
          <w:tcPr>
            <w:tcW w:w="722" w:type="dxa"/>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0D97F236">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78%</w:t>
            </w:r>
          </w:p>
        </w:tc>
        <w:tc>
          <w:tcPr>
            <w:tcW w:w="684" w:type="dxa"/>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0965BE53">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80%</w:t>
            </w:r>
          </w:p>
        </w:tc>
        <w:tc>
          <w:tcPr>
            <w:tcW w:w="709" w:type="dxa"/>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6C3FCAEC">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83%</w:t>
            </w:r>
          </w:p>
        </w:tc>
        <w:tc>
          <w:tcPr>
            <w:tcW w:w="912" w:type="dxa"/>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53803B55">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83.5%</w:t>
            </w:r>
          </w:p>
        </w:tc>
        <w:tc>
          <w:tcPr>
            <w:tcW w:w="1286" w:type="dxa"/>
            <w:gridSpan w:val="2"/>
            <w:vMerge w:val="restart"/>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4CAD7C69">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75%</w:t>
            </w:r>
          </w:p>
        </w:tc>
      </w:tr>
      <w:tr w14:paraId="1A4D74B5">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CellMar>
            <w:top w:w="0" w:type="dxa"/>
            <w:left w:w="0" w:type="dxa"/>
            <w:bottom w:w="0" w:type="dxa"/>
            <w:right w:w="0" w:type="dxa"/>
          </w:tblCellMar>
        </w:tblPrEx>
        <w:trPr>
          <w:trHeight w:val="516" w:hRule="atLeast"/>
        </w:trPr>
        <w:tc>
          <w:tcPr>
            <w:tcW w:w="1273" w:type="dxa"/>
            <w:vMerge w:val="continue"/>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59502E1A">
            <w:pPr>
              <w:jc w:val="both"/>
              <w:rPr>
                <w:rFonts w:hint="default" w:ascii="Times New Roman" w:hAnsi="Times New Roman" w:cs="Times New Roman"/>
                <w:sz w:val="20"/>
                <w:szCs w:val="20"/>
              </w:rPr>
            </w:pPr>
          </w:p>
        </w:tc>
        <w:tc>
          <w:tcPr>
            <w:tcW w:w="1455" w:type="dxa"/>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366E386C">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二级</w:t>
            </w:r>
          </w:p>
        </w:tc>
        <w:tc>
          <w:tcPr>
            <w:tcW w:w="1616" w:type="dxa"/>
            <w:vMerge w:val="continue"/>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15B772F2">
            <w:pPr>
              <w:jc w:val="both"/>
              <w:rPr>
                <w:rFonts w:hint="default" w:ascii="Times New Roman" w:hAnsi="Times New Roman" w:cs="Times New Roman"/>
                <w:sz w:val="20"/>
                <w:szCs w:val="20"/>
              </w:rPr>
            </w:pPr>
          </w:p>
        </w:tc>
        <w:tc>
          <w:tcPr>
            <w:tcW w:w="997" w:type="dxa"/>
            <w:vMerge w:val="continue"/>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093A5490">
            <w:pPr>
              <w:jc w:val="both"/>
              <w:rPr>
                <w:rFonts w:hint="default" w:ascii="Times New Roman" w:hAnsi="Times New Roman" w:cs="Times New Roman"/>
                <w:sz w:val="20"/>
                <w:szCs w:val="20"/>
              </w:rPr>
            </w:pPr>
          </w:p>
        </w:tc>
        <w:tc>
          <w:tcPr>
            <w:tcW w:w="722" w:type="dxa"/>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30772216">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73%</w:t>
            </w:r>
          </w:p>
        </w:tc>
        <w:tc>
          <w:tcPr>
            <w:tcW w:w="684" w:type="dxa"/>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726A3BD3">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75%</w:t>
            </w:r>
          </w:p>
        </w:tc>
        <w:tc>
          <w:tcPr>
            <w:tcW w:w="709" w:type="dxa"/>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63CAA03F">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79%</w:t>
            </w:r>
          </w:p>
        </w:tc>
        <w:tc>
          <w:tcPr>
            <w:tcW w:w="912" w:type="dxa"/>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47C6760F">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80%</w:t>
            </w:r>
          </w:p>
        </w:tc>
        <w:tc>
          <w:tcPr>
            <w:tcW w:w="1286" w:type="dxa"/>
            <w:gridSpan w:val="2"/>
            <w:vMerge w:val="continue"/>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1F3A9336">
            <w:pPr>
              <w:jc w:val="both"/>
              <w:rPr>
                <w:rFonts w:hint="default" w:ascii="Times New Roman" w:hAnsi="Times New Roman" w:cs="Times New Roman"/>
                <w:sz w:val="20"/>
                <w:szCs w:val="20"/>
              </w:rPr>
            </w:pPr>
          </w:p>
        </w:tc>
      </w:tr>
      <w:tr w14:paraId="2D60152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16" w:hRule="atLeast"/>
        </w:trPr>
        <w:tc>
          <w:tcPr>
            <w:tcW w:w="1273" w:type="dxa"/>
            <w:vMerge w:val="continue"/>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67111AB9">
            <w:pPr>
              <w:jc w:val="both"/>
              <w:rPr>
                <w:rFonts w:hint="default" w:ascii="Times New Roman" w:hAnsi="Times New Roman" w:cs="Times New Roman"/>
                <w:sz w:val="20"/>
                <w:szCs w:val="20"/>
              </w:rPr>
            </w:pPr>
          </w:p>
        </w:tc>
        <w:tc>
          <w:tcPr>
            <w:tcW w:w="1455" w:type="dxa"/>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45343BBD">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三级</w:t>
            </w:r>
          </w:p>
        </w:tc>
        <w:tc>
          <w:tcPr>
            <w:tcW w:w="1616" w:type="dxa"/>
            <w:vMerge w:val="continue"/>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735E4A34">
            <w:pPr>
              <w:jc w:val="both"/>
              <w:rPr>
                <w:rFonts w:hint="default" w:ascii="Times New Roman" w:hAnsi="Times New Roman" w:cs="Times New Roman"/>
                <w:sz w:val="20"/>
                <w:szCs w:val="20"/>
              </w:rPr>
            </w:pPr>
          </w:p>
        </w:tc>
        <w:tc>
          <w:tcPr>
            <w:tcW w:w="997" w:type="dxa"/>
            <w:vMerge w:val="continue"/>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01B811B3">
            <w:pPr>
              <w:jc w:val="both"/>
              <w:rPr>
                <w:rFonts w:hint="default" w:ascii="Times New Roman" w:hAnsi="Times New Roman" w:cs="Times New Roman"/>
                <w:sz w:val="20"/>
                <w:szCs w:val="20"/>
              </w:rPr>
            </w:pPr>
          </w:p>
        </w:tc>
        <w:tc>
          <w:tcPr>
            <w:tcW w:w="722" w:type="dxa"/>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65CC88B3">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70%</w:t>
            </w:r>
          </w:p>
        </w:tc>
        <w:tc>
          <w:tcPr>
            <w:tcW w:w="684" w:type="dxa"/>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1A331759">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73%</w:t>
            </w:r>
          </w:p>
        </w:tc>
        <w:tc>
          <w:tcPr>
            <w:tcW w:w="709" w:type="dxa"/>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16D62D98">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75%</w:t>
            </w:r>
          </w:p>
        </w:tc>
        <w:tc>
          <w:tcPr>
            <w:tcW w:w="912" w:type="dxa"/>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19D1ADB4">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77%</w:t>
            </w:r>
          </w:p>
        </w:tc>
        <w:tc>
          <w:tcPr>
            <w:tcW w:w="1286" w:type="dxa"/>
            <w:gridSpan w:val="2"/>
            <w:vMerge w:val="continue"/>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0B609110">
            <w:pPr>
              <w:jc w:val="both"/>
              <w:rPr>
                <w:rFonts w:hint="default" w:ascii="Times New Roman" w:hAnsi="Times New Roman" w:cs="Times New Roman"/>
                <w:sz w:val="20"/>
                <w:szCs w:val="20"/>
              </w:rPr>
            </w:pPr>
          </w:p>
        </w:tc>
      </w:tr>
      <w:tr w14:paraId="10562CBC">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16" w:hRule="atLeast"/>
        </w:trPr>
        <w:tc>
          <w:tcPr>
            <w:tcW w:w="1273" w:type="dxa"/>
            <w:vMerge w:val="restart"/>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7128A868">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其他临时外出就医人员</w:t>
            </w:r>
          </w:p>
          <w:p w14:paraId="4899A450">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（省外）</w:t>
            </w:r>
          </w:p>
        </w:tc>
        <w:tc>
          <w:tcPr>
            <w:tcW w:w="1455" w:type="dxa"/>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7EEB7525">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一级及以下</w:t>
            </w:r>
          </w:p>
        </w:tc>
        <w:tc>
          <w:tcPr>
            <w:tcW w:w="1616" w:type="dxa"/>
            <w:vMerge w:val="continue"/>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5DA22DD5">
            <w:pPr>
              <w:jc w:val="both"/>
              <w:rPr>
                <w:rFonts w:hint="default" w:ascii="Times New Roman" w:hAnsi="Times New Roman" w:cs="Times New Roman"/>
                <w:sz w:val="20"/>
                <w:szCs w:val="20"/>
              </w:rPr>
            </w:pPr>
          </w:p>
        </w:tc>
        <w:tc>
          <w:tcPr>
            <w:tcW w:w="997" w:type="dxa"/>
            <w:vMerge w:val="restart"/>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066C936F">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45%</w:t>
            </w:r>
          </w:p>
        </w:tc>
        <w:tc>
          <w:tcPr>
            <w:tcW w:w="722" w:type="dxa"/>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5F537C83">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73%</w:t>
            </w:r>
          </w:p>
        </w:tc>
        <w:tc>
          <w:tcPr>
            <w:tcW w:w="684" w:type="dxa"/>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7F2972CF">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75%</w:t>
            </w:r>
          </w:p>
        </w:tc>
        <w:tc>
          <w:tcPr>
            <w:tcW w:w="709" w:type="dxa"/>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4F8EFFD6">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78%</w:t>
            </w:r>
          </w:p>
        </w:tc>
        <w:tc>
          <w:tcPr>
            <w:tcW w:w="912" w:type="dxa"/>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428BEC31">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78.5%</w:t>
            </w:r>
          </w:p>
        </w:tc>
        <w:tc>
          <w:tcPr>
            <w:tcW w:w="1286" w:type="dxa"/>
            <w:gridSpan w:val="2"/>
            <w:vMerge w:val="restart"/>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3A449983">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70%</w:t>
            </w:r>
          </w:p>
        </w:tc>
      </w:tr>
      <w:tr w14:paraId="66886E15">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16" w:hRule="atLeast"/>
        </w:trPr>
        <w:tc>
          <w:tcPr>
            <w:tcW w:w="1273" w:type="dxa"/>
            <w:vMerge w:val="continue"/>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2A2BE218">
            <w:pPr>
              <w:jc w:val="both"/>
              <w:rPr>
                <w:rFonts w:hint="default" w:ascii="Times New Roman" w:hAnsi="Times New Roman" w:cs="Times New Roman"/>
                <w:sz w:val="20"/>
                <w:szCs w:val="20"/>
              </w:rPr>
            </w:pPr>
          </w:p>
        </w:tc>
        <w:tc>
          <w:tcPr>
            <w:tcW w:w="1455" w:type="dxa"/>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2E1BBD34">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二级</w:t>
            </w:r>
          </w:p>
        </w:tc>
        <w:tc>
          <w:tcPr>
            <w:tcW w:w="1616" w:type="dxa"/>
            <w:vMerge w:val="continue"/>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2ABB0F70">
            <w:pPr>
              <w:jc w:val="both"/>
              <w:rPr>
                <w:rFonts w:hint="default" w:ascii="Times New Roman" w:hAnsi="Times New Roman" w:cs="Times New Roman"/>
                <w:sz w:val="20"/>
                <w:szCs w:val="20"/>
              </w:rPr>
            </w:pPr>
          </w:p>
        </w:tc>
        <w:tc>
          <w:tcPr>
            <w:tcW w:w="997" w:type="dxa"/>
            <w:vMerge w:val="continue"/>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73A7041F">
            <w:pPr>
              <w:jc w:val="both"/>
              <w:rPr>
                <w:rFonts w:hint="default" w:ascii="Times New Roman" w:hAnsi="Times New Roman" w:cs="Times New Roman"/>
                <w:sz w:val="20"/>
                <w:szCs w:val="20"/>
              </w:rPr>
            </w:pPr>
          </w:p>
        </w:tc>
        <w:tc>
          <w:tcPr>
            <w:tcW w:w="722" w:type="dxa"/>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799A8F0B">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68%</w:t>
            </w:r>
          </w:p>
        </w:tc>
        <w:tc>
          <w:tcPr>
            <w:tcW w:w="684" w:type="dxa"/>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10C89C72">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70%</w:t>
            </w:r>
          </w:p>
        </w:tc>
        <w:tc>
          <w:tcPr>
            <w:tcW w:w="709" w:type="dxa"/>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10563498">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74%</w:t>
            </w:r>
          </w:p>
        </w:tc>
        <w:tc>
          <w:tcPr>
            <w:tcW w:w="912" w:type="dxa"/>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602C5B85">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75%</w:t>
            </w:r>
          </w:p>
        </w:tc>
        <w:tc>
          <w:tcPr>
            <w:tcW w:w="1286" w:type="dxa"/>
            <w:gridSpan w:val="2"/>
            <w:vMerge w:val="continue"/>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7EEC15DC">
            <w:pPr>
              <w:jc w:val="both"/>
              <w:rPr>
                <w:rFonts w:hint="default" w:ascii="Times New Roman" w:hAnsi="Times New Roman" w:cs="Times New Roman"/>
                <w:sz w:val="20"/>
                <w:szCs w:val="20"/>
              </w:rPr>
            </w:pPr>
          </w:p>
        </w:tc>
      </w:tr>
      <w:tr w14:paraId="7F5FF91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CellMar>
            <w:top w:w="0" w:type="dxa"/>
            <w:left w:w="0" w:type="dxa"/>
            <w:bottom w:w="0" w:type="dxa"/>
            <w:right w:w="0" w:type="dxa"/>
          </w:tblCellMar>
        </w:tblPrEx>
        <w:trPr>
          <w:trHeight w:val="516" w:hRule="atLeast"/>
        </w:trPr>
        <w:tc>
          <w:tcPr>
            <w:tcW w:w="1273" w:type="dxa"/>
            <w:vMerge w:val="continue"/>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7A6DA1EF">
            <w:pPr>
              <w:jc w:val="both"/>
              <w:rPr>
                <w:rFonts w:hint="default" w:ascii="Times New Roman" w:hAnsi="Times New Roman" w:cs="Times New Roman"/>
                <w:sz w:val="20"/>
                <w:szCs w:val="20"/>
              </w:rPr>
            </w:pPr>
          </w:p>
        </w:tc>
        <w:tc>
          <w:tcPr>
            <w:tcW w:w="1455" w:type="dxa"/>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26C71055">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三级</w:t>
            </w:r>
          </w:p>
        </w:tc>
        <w:tc>
          <w:tcPr>
            <w:tcW w:w="1616" w:type="dxa"/>
            <w:vMerge w:val="continue"/>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1E6E4D62">
            <w:pPr>
              <w:jc w:val="both"/>
              <w:rPr>
                <w:rFonts w:hint="default" w:ascii="Times New Roman" w:hAnsi="Times New Roman" w:cs="Times New Roman"/>
                <w:sz w:val="20"/>
                <w:szCs w:val="20"/>
              </w:rPr>
            </w:pPr>
          </w:p>
        </w:tc>
        <w:tc>
          <w:tcPr>
            <w:tcW w:w="997" w:type="dxa"/>
            <w:vMerge w:val="continue"/>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3B99653B">
            <w:pPr>
              <w:jc w:val="both"/>
              <w:rPr>
                <w:rFonts w:hint="default" w:ascii="Times New Roman" w:hAnsi="Times New Roman" w:cs="Times New Roman"/>
                <w:sz w:val="20"/>
                <w:szCs w:val="20"/>
              </w:rPr>
            </w:pPr>
          </w:p>
        </w:tc>
        <w:tc>
          <w:tcPr>
            <w:tcW w:w="722" w:type="dxa"/>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2ECA5BEF">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65%</w:t>
            </w:r>
          </w:p>
        </w:tc>
        <w:tc>
          <w:tcPr>
            <w:tcW w:w="684" w:type="dxa"/>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56DBEE97">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68%</w:t>
            </w:r>
          </w:p>
        </w:tc>
        <w:tc>
          <w:tcPr>
            <w:tcW w:w="709" w:type="dxa"/>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5541DEE4">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70%</w:t>
            </w:r>
          </w:p>
        </w:tc>
        <w:tc>
          <w:tcPr>
            <w:tcW w:w="912" w:type="dxa"/>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702401D8">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72%</w:t>
            </w:r>
          </w:p>
        </w:tc>
        <w:tc>
          <w:tcPr>
            <w:tcW w:w="1286" w:type="dxa"/>
            <w:gridSpan w:val="2"/>
            <w:vMerge w:val="continue"/>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0687FD2D">
            <w:pPr>
              <w:jc w:val="both"/>
              <w:rPr>
                <w:rFonts w:hint="default" w:ascii="Times New Roman" w:hAnsi="Times New Roman" w:cs="Times New Roman"/>
                <w:sz w:val="20"/>
                <w:szCs w:val="20"/>
              </w:rPr>
            </w:pPr>
          </w:p>
        </w:tc>
      </w:tr>
      <w:tr w14:paraId="6C2C50F2">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516" w:hRule="atLeast"/>
        </w:trPr>
        <w:tc>
          <w:tcPr>
            <w:tcW w:w="9654" w:type="dxa"/>
            <w:gridSpan w:val="10"/>
            <w:tcBorders>
              <w:top w:val="nil"/>
              <w:left w:val="single" w:color="auto" w:sz="6" w:space="0"/>
              <w:bottom w:val="single" w:color="auto" w:sz="6" w:space="0"/>
              <w:right w:val="single" w:color="auto" w:sz="6" w:space="0"/>
            </w:tcBorders>
            <w:shd w:val="clear" w:color="auto" w:fill="DBEEF3"/>
            <w:tcMar>
              <w:top w:w="0" w:type="dxa"/>
              <w:left w:w="108" w:type="dxa"/>
              <w:bottom w:w="0" w:type="dxa"/>
              <w:right w:w="108" w:type="dxa"/>
            </w:tcMar>
            <w:vAlign w:val="center"/>
          </w:tcPr>
          <w:p w14:paraId="3A78D5EA">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宋体" w:hAnsi="宋体" w:eastAsia="宋体" w:cs="宋体"/>
                <w:sz w:val="24"/>
                <w:szCs w:val="24"/>
                <w:bdr w:val="none" w:color="auto" w:sz="0" w:space="0"/>
              </w:rPr>
              <w:t>注：</w:t>
            </w:r>
            <w:r>
              <w:rPr>
                <w:rFonts w:hint="default" w:ascii="Times New Roman" w:hAnsi="Times New Roman" w:eastAsia="宋体" w:cs="Times New Roman"/>
                <w:sz w:val="24"/>
                <w:szCs w:val="24"/>
                <w:bdr w:val="none" w:color="auto" w:sz="0" w:space="0"/>
              </w:rPr>
              <w:t>1.</w:t>
            </w:r>
            <w:r>
              <w:rPr>
                <w:rFonts w:hint="eastAsia" w:ascii="宋体" w:hAnsi="宋体" w:eastAsia="宋体" w:cs="宋体"/>
                <w:sz w:val="24"/>
                <w:szCs w:val="24"/>
                <w:bdr w:val="none" w:color="auto" w:sz="0" w:space="0"/>
              </w:rPr>
              <w:t>常见慢病限额根据病种不同限额也不同；特殊慢性病与住院限额合并计算（特殊除外）。</w:t>
            </w:r>
          </w:p>
          <w:p w14:paraId="1BE73CC0">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宋体" w:hAnsi="宋体" w:eastAsia="宋体" w:cs="宋体"/>
                <w:sz w:val="24"/>
                <w:szCs w:val="24"/>
                <w:bdr w:val="none" w:color="auto" w:sz="0" w:space="0"/>
              </w:rPr>
              <w:t>2. 符合医保目录范围内的医疗费用具体报销比例如上。</w:t>
            </w:r>
          </w:p>
        </w:tc>
      </w:tr>
    </w:tbl>
    <w:p w14:paraId="5FDDB93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both"/>
        <w:rPr>
          <w:rFonts w:hint="default" w:ascii="Times New Roman" w:hAnsi="Times New Roman" w:cs="Times New Roman"/>
          <w:i w:val="0"/>
          <w:iCs w:val="0"/>
          <w:caps w:val="0"/>
          <w:color w:val="333333"/>
          <w:spacing w:val="0"/>
          <w:sz w:val="21"/>
          <w:szCs w:val="21"/>
          <w:bdr w:val="none" w:color="auto" w:sz="0" w:space="0"/>
          <w:shd w:val="clear" w:fill="FFFFFF"/>
        </w:rPr>
      </w:pPr>
      <w:r>
        <w:rPr>
          <w:rFonts w:hint="default" w:ascii="Times New Roman" w:hAnsi="Times New Roman" w:cs="Times New Roman"/>
          <w:i w:val="0"/>
          <w:iCs w:val="0"/>
          <w:caps w:val="0"/>
          <w:color w:val="333333"/>
          <w:spacing w:val="0"/>
          <w:sz w:val="21"/>
          <w:szCs w:val="21"/>
          <w:bdr w:val="none" w:color="auto" w:sz="0" w:space="0"/>
          <w:shd w:val="clear" w:fill="FFFFFF"/>
        </w:rPr>
        <w:t> </w:t>
      </w:r>
    </w:p>
    <w:p w14:paraId="4936628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both"/>
        <w:rPr>
          <w:rFonts w:hint="default" w:ascii="Times New Roman" w:hAnsi="Times New Roman" w:cs="Times New Roman"/>
          <w:i w:val="0"/>
          <w:iCs w:val="0"/>
          <w:caps w:val="0"/>
          <w:color w:val="333333"/>
          <w:spacing w:val="0"/>
          <w:sz w:val="21"/>
          <w:szCs w:val="21"/>
          <w:bdr w:val="none" w:color="auto" w:sz="0" w:space="0"/>
          <w:shd w:val="clear" w:fill="FFFFFF"/>
        </w:rPr>
      </w:pPr>
    </w:p>
    <w:p w14:paraId="09A6827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both"/>
        <w:rPr>
          <w:rFonts w:hint="default" w:ascii="Times New Roman" w:hAnsi="Times New Roman" w:cs="Times New Roman"/>
          <w:i w:val="0"/>
          <w:iCs w:val="0"/>
          <w:caps w:val="0"/>
          <w:color w:val="333333"/>
          <w:spacing w:val="0"/>
          <w:sz w:val="21"/>
          <w:szCs w:val="21"/>
          <w:bdr w:val="none" w:color="auto" w:sz="0" w:space="0"/>
          <w:shd w:val="clear" w:fill="FFFFFF"/>
        </w:rPr>
      </w:pPr>
    </w:p>
    <w:p w14:paraId="3FE79BF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both"/>
        <w:rPr>
          <w:rFonts w:hint="default" w:ascii="Times New Roman" w:hAnsi="Times New Roman" w:cs="Times New Roman"/>
          <w:i w:val="0"/>
          <w:iCs w:val="0"/>
          <w:caps w:val="0"/>
          <w:color w:val="333333"/>
          <w:spacing w:val="0"/>
          <w:sz w:val="21"/>
          <w:szCs w:val="21"/>
          <w:bdr w:val="none" w:color="auto" w:sz="0" w:space="0"/>
          <w:shd w:val="clear" w:fill="FFFFFF"/>
        </w:rPr>
      </w:pPr>
    </w:p>
    <w:p w14:paraId="511DD30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both"/>
        <w:rPr>
          <w:rFonts w:hint="default" w:ascii="Times New Roman" w:hAnsi="Times New Roman" w:cs="Times New Roman"/>
          <w:i w:val="0"/>
          <w:iCs w:val="0"/>
          <w:caps w:val="0"/>
          <w:color w:val="333333"/>
          <w:spacing w:val="0"/>
          <w:sz w:val="21"/>
          <w:szCs w:val="21"/>
          <w:bdr w:val="none" w:color="auto" w:sz="0" w:space="0"/>
          <w:shd w:val="clear" w:fill="FFFFFF"/>
        </w:rPr>
      </w:pPr>
    </w:p>
    <w:p w14:paraId="29F1F60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both"/>
        <w:rPr>
          <w:rFonts w:hint="default" w:ascii="Times New Roman" w:hAnsi="Times New Roman" w:cs="Times New Roman"/>
          <w:i w:val="0"/>
          <w:iCs w:val="0"/>
          <w:caps w:val="0"/>
          <w:color w:val="333333"/>
          <w:spacing w:val="0"/>
          <w:sz w:val="21"/>
          <w:szCs w:val="21"/>
          <w:bdr w:val="none" w:color="auto" w:sz="0" w:space="0"/>
          <w:shd w:val="clear" w:fill="FFFFFF"/>
        </w:rPr>
      </w:pPr>
    </w:p>
    <w:p w14:paraId="4BF58B3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both"/>
        <w:rPr>
          <w:rFonts w:hint="default" w:ascii="Times New Roman" w:hAnsi="Times New Roman" w:cs="Times New Roman"/>
          <w:i w:val="0"/>
          <w:iCs w:val="0"/>
          <w:caps w:val="0"/>
          <w:color w:val="333333"/>
          <w:spacing w:val="0"/>
          <w:sz w:val="21"/>
          <w:szCs w:val="21"/>
          <w:bdr w:val="none" w:color="auto" w:sz="0" w:space="0"/>
          <w:shd w:val="clear" w:fill="FFFFFF"/>
        </w:rPr>
      </w:pPr>
      <w:bookmarkStart w:id="0" w:name="_GoBack"/>
      <w:bookmarkEnd w:id="0"/>
    </w:p>
    <w:tbl>
      <w:tblPr>
        <w:tblW w:w="9709" w:type="dxa"/>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Layout w:type="autofit"/>
        <w:tblCellMar>
          <w:top w:w="0" w:type="dxa"/>
          <w:left w:w="0" w:type="dxa"/>
          <w:bottom w:w="0" w:type="dxa"/>
          <w:right w:w="0" w:type="dxa"/>
        </w:tblCellMar>
      </w:tblPr>
      <w:tblGrid>
        <w:gridCol w:w="1213"/>
        <w:gridCol w:w="1692"/>
        <w:gridCol w:w="1944"/>
        <w:gridCol w:w="2376"/>
        <w:gridCol w:w="2484"/>
      </w:tblGrid>
      <w:tr w14:paraId="09A5FF01">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CellMar>
            <w:top w:w="0" w:type="dxa"/>
            <w:left w:w="0" w:type="dxa"/>
            <w:bottom w:w="0" w:type="dxa"/>
            <w:right w:w="0" w:type="dxa"/>
          </w:tblCellMar>
        </w:tblPrEx>
        <w:trPr>
          <w:jc w:val="center"/>
        </w:trPr>
        <w:tc>
          <w:tcPr>
            <w:tcW w:w="9709" w:type="dxa"/>
            <w:gridSpan w:val="5"/>
            <w:tcBorders>
              <w:top w:val="single" w:color="auto" w:sz="6" w:space="0"/>
              <w:left w:val="single" w:color="auto" w:sz="6" w:space="0"/>
              <w:bottom w:val="single" w:color="auto" w:sz="6" w:space="0"/>
              <w:right w:val="single" w:color="auto" w:sz="6" w:space="0"/>
            </w:tcBorders>
            <w:shd w:val="clear" w:color="auto" w:fill="D99594"/>
            <w:tcMar>
              <w:top w:w="0" w:type="dxa"/>
              <w:left w:w="108" w:type="dxa"/>
              <w:bottom w:w="0" w:type="dxa"/>
              <w:right w:w="108" w:type="dxa"/>
            </w:tcMar>
            <w:vAlign w:val="top"/>
          </w:tcPr>
          <w:p w14:paraId="1E94957F">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方正小标宋简体" w:hAnsi="方正小标宋简体" w:eastAsia="方正小标宋简体" w:cs="方正小标宋简体"/>
                <w:sz w:val="32"/>
                <w:szCs w:val="32"/>
                <w:bdr w:val="none" w:color="auto" w:sz="0" w:space="0"/>
              </w:rPr>
              <w:t>蚌埠市城乡居民医保异地门诊慢特病待遇</w:t>
            </w:r>
          </w:p>
        </w:tc>
      </w:tr>
      <w:tr w14:paraId="0FD606D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CellMar>
            <w:top w:w="0" w:type="dxa"/>
            <w:left w:w="0" w:type="dxa"/>
            <w:bottom w:w="0" w:type="dxa"/>
            <w:right w:w="0" w:type="dxa"/>
          </w:tblCellMar>
        </w:tblPrEx>
        <w:trPr>
          <w:trHeight w:val="656" w:hRule="atLeast"/>
          <w:jc w:val="center"/>
        </w:trPr>
        <w:tc>
          <w:tcPr>
            <w:tcW w:w="1213" w:type="dxa"/>
            <w:tcBorders>
              <w:top w:val="nil"/>
              <w:left w:val="single" w:color="auto" w:sz="6" w:space="0"/>
              <w:bottom w:val="single" w:color="auto" w:sz="6" w:space="0"/>
              <w:right w:val="single" w:color="auto" w:sz="6" w:space="0"/>
            </w:tcBorders>
            <w:shd w:val="clear" w:color="auto" w:fill="D99594"/>
            <w:tcMar>
              <w:top w:w="0" w:type="dxa"/>
              <w:left w:w="108" w:type="dxa"/>
              <w:bottom w:w="0" w:type="dxa"/>
              <w:right w:w="108" w:type="dxa"/>
            </w:tcMar>
            <w:vAlign w:val="top"/>
          </w:tcPr>
          <w:p w14:paraId="570B2FF5">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备案类别</w:t>
            </w:r>
          </w:p>
        </w:tc>
        <w:tc>
          <w:tcPr>
            <w:tcW w:w="1692" w:type="dxa"/>
            <w:tcBorders>
              <w:top w:val="single" w:color="auto" w:sz="6" w:space="0"/>
              <w:left w:val="single" w:color="auto" w:sz="6" w:space="0"/>
              <w:bottom w:val="single" w:color="auto" w:sz="6" w:space="0"/>
              <w:right w:val="single" w:color="auto" w:sz="6" w:space="0"/>
            </w:tcBorders>
            <w:shd w:val="clear" w:color="auto" w:fill="D99594"/>
            <w:tcMar>
              <w:top w:w="0" w:type="dxa"/>
              <w:left w:w="108" w:type="dxa"/>
              <w:bottom w:w="0" w:type="dxa"/>
              <w:right w:w="108" w:type="dxa"/>
            </w:tcMar>
            <w:vAlign w:val="top"/>
          </w:tcPr>
          <w:p w14:paraId="4489E0BA">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医疗机构级别</w:t>
            </w:r>
          </w:p>
        </w:tc>
        <w:tc>
          <w:tcPr>
            <w:tcW w:w="1944" w:type="dxa"/>
            <w:tcBorders>
              <w:top w:val="single" w:color="auto" w:sz="6" w:space="0"/>
              <w:left w:val="single" w:color="auto" w:sz="6" w:space="0"/>
              <w:bottom w:val="single" w:color="auto" w:sz="6" w:space="0"/>
              <w:right w:val="single" w:color="auto" w:sz="6" w:space="0"/>
            </w:tcBorders>
            <w:shd w:val="clear" w:color="auto" w:fill="D99594"/>
            <w:tcMar>
              <w:top w:w="0" w:type="dxa"/>
              <w:left w:w="108" w:type="dxa"/>
              <w:bottom w:w="0" w:type="dxa"/>
              <w:right w:w="108" w:type="dxa"/>
            </w:tcMar>
            <w:vAlign w:val="top"/>
          </w:tcPr>
          <w:p w14:paraId="3F8EAB9D">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起付线（元）</w:t>
            </w:r>
          </w:p>
        </w:tc>
        <w:tc>
          <w:tcPr>
            <w:tcW w:w="2376" w:type="dxa"/>
            <w:tcBorders>
              <w:top w:val="single" w:color="auto" w:sz="6" w:space="0"/>
              <w:left w:val="single" w:color="auto" w:sz="6" w:space="0"/>
              <w:bottom w:val="single" w:color="auto" w:sz="6" w:space="0"/>
              <w:right w:val="single" w:color="auto" w:sz="6" w:space="0"/>
            </w:tcBorders>
            <w:shd w:val="clear" w:color="auto" w:fill="D99594"/>
            <w:tcMar>
              <w:top w:w="0" w:type="dxa"/>
              <w:left w:w="108" w:type="dxa"/>
              <w:bottom w:w="0" w:type="dxa"/>
              <w:right w:w="108" w:type="dxa"/>
            </w:tcMar>
            <w:vAlign w:val="top"/>
          </w:tcPr>
          <w:p w14:paraId="1C7C34AE">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常见慢性病报销支付比例</w:t>
            </w:r>
          </w:p>
        </w:tc>
        <w:tc>
          <w:tcPr>
            <w:tcW w:w="2484" w:type="dxa"/>
            <w:tcBorders>
              <w:top w:val="single" w:color="auto" w:sz="6" w:space="0"/>
              <w:left w:val="single" w:color="auto" w:sz="6" w:space="0"/>
              <w:bottom w:val="single" w:color="auto" w:sz="6" w:space="0"/>
              <w:right w:val="single" w:color="auto" w:sz="6" w:space="0"/>
            </w:tcBorders>
            <w:shd w:val="clear" w:color="auto" w:fill="D99594"/>
            <w:tcMar>
              <w:top w:w="0" w:type="dxa"/>
              <w:left w:w="108" w:type="dxa"/>
              <w:bottom w:w="0" w:type="dxa"/>
              <w:right w:w="108" w:type="dxa"/>
            </w:tcMar>
            <w:vAlign w:val="top"/>
          </w:tcPr>
          <w:p w14:paraId="6B95B696">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黑体" w:hAnsi="宋体" w:eastAsia="黑体" w:cs="黑体"/>
                <w:sz w:val="24"/>
                <w:szCs w:val="24"/>
                <w:bdr w:val="none" w:color="auto" w:sz="0" w:space="0"/>
              </w:rPr>
              <w:t>特殊慢性病报销支付比例</w:t>
            </w:r>
          </w:p>
        </w:tc>
      </w:tr>
      <w:tr w14:paraId="00CE280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213" w:type="dxa"/>
            <w:vMerge w:val="restart"/>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734E2BFD">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异地长期居住人员</w:t>
            </w:r>
          </w:p>
        </w:tc>
        <w:tc>
          <w:tcPr>
            <w:tcW w:w="1692" w:type="dxa"/>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4CCA4D28">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一级及以下</w:t>
            </w:r>
          </w:p>
        </w:tc>
        <w:tc>
          <w:tcPr>
            <w:tcW w:w="1944" w:type="dxa"/>
            <w:vMerge w:val="restart"/>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6E54C96E">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居民医保门诊慢病和特殊病年度</w:t>
            </w:r>
          </w:p>
          <w:p w14:paraId="25AAF238">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内合并计算一</w:t>
            </w:r>
          </w:p>
          <w:p w14:paraId="4238B39A">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次起付线为</w:t>
            </w:r>
          </w:p>
          <w:p w14:paraId="6E46BE53">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350元</w:t>
            </w:r>
          </w:p>
        </w:tc>
        <w:tc>
          <w:tcPr>
            <w:tcW w:w="2376" w:type="dxa"/>
            <w:vMerge w:val="restart"/>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56F329A0">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60%</w:t>
            </w:r>
          </w:p>
        </w:tc>
        <w:tc>
          <w:tcPr>
            <w:tcW w:w="2484" w:type="dxa"/>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055AC630">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90%</w:t>
            </w:r>
          </w:p>
        </w:tc>
      </w:tr>
      <w:tr w14:paraId="6AE495F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213" w:type="dxa"/>
            <w:vMerge w:val="continue"/>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00597F93">
            <w:pPr>
              <w:jc w:val="both"/>
              <w:rPr>
                <w:rFonts w:hint="default" w:ascii="Times New Roman" w:hAnsi="Times New Roman" w:cs="Times New Roman"/>
                <w:sz w:val="20"/>
                <w:szCs w:val="20"/>
              </w:rPr>
            </w:pPr>
          </w:p>
        </w:tc>
        <w:tc>
          <w:tcPr>
            <w:tcW w:w="1692" w:type="dxa"/>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56F87D0D">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二级</w:t>
            </w:r>
          </w:p>
        </w:tc>
        <w:tc>
          <w:tcPr>
            <w:tcW w:w="1944" w:type="dxa"/>
            <w:vMerge w:val="continue"/>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0AEF5EA4">
            <w:pPr>
              <w:jc w:val="both"/>
              <w:rPr>
                <w:rFonts w:hint="default" w:ascii="Times New Roman" w:hAnsi="Times New Roman" w:cs="Times New Roman"/>
                <w:sz w:val="20"/>
                <w:szCs w:val="20"/>
              </w:rPr>
            </w:pPr>
          </w:p>
        </w:tc>
        <w:tc>
          <w:tcPr>
            <w:tcW w:w="2376" w:type="dxa"/>
            <w:vMerge w:val="continue"/>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2E50A2DA">
            <w:pPr>
              <w:jc w:val="both"/>
              <w:rPr>
                <w:rFonts w:hint="default" w:ascii="Times New Roman" w:hAnsi="Times New Roman" w:cs="Times New Roman"/>
                <w:sz w:val="20"/>
                <w:szCs w:val="20"/>
              </w:rPr>
            </w:pPr>
          </w:p>
        </w:tc>
        <w:tc>
          <w:tcPr>
            <w:tcW w:w="2484" w:type="dxa"/>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0C09B577">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80%</w:t>
            </w:r>
          </w:p>
        </w:tc>
      </w:tr>
      <w:tr w14:paraId="73AA5C54">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CellMar>
            <w:top w:w="0" w:type="dxa"/>
            <w:left w:w="0" w:type="dxa"/>
            <w:bottom w:w="0" w:type="dxa"/>
            <w:right w:w="0" w:type="dxa"/>
          </w:tblCellMar>
        </w:tblPrEx>
        <w:trPr>
          <w:jc w:val="center"/>
        </w:trPr>
        <w:tc>
          <w:tcPr>
            <w:tcW w:w="1213" w:type="dxa"/>
            <w:vMerge w:val="continue"/>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63E9E75E">
            <w:pPr>
              <w:jc w:val="both"/>
              <w:rPr>
                <w:rFonts w:hint="default" w:ascii="Times New Roman" w:hAnsi="Times New Roman" w:cs="Times New Roman"/>
                <w:sz w:val="20"/>
                <w:szCs w:val="20"/>
              </w:rPr>
            </w:pPr>
          </w:p>
        </w:tc>
        <w:tc>
          <w:tcPr>
            <w:tcW w:w="1692" w:type="dxa"/>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410FC8CF">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三级（市属）</w:t>
            </w:r>
          </w:p>
        </w:tc>
        <w:tc>
          <w:tcPr>
            <w:tcW w:w="1944" w:type="dxa"/>
            <w:vMerge w:val="continue"/>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2A02BC07">
            <w:pPr>
              <w:jc w:val="both"/>
              <w:rPr>
                <w:rFonts w:hint="default" w:ascii="Times New Roman" w:hAnsi="Times New Roman" w:cs="Times New Roman"/>
                <w:sz w:val="20"/>
                <w:szCs w:val="20"/>
              </w:rPr>
            </w:pPr>
          </w:p>
        </w:tc>
        <w:tc>
          <w:tcPr>
            <w:tcW w:w="2376" w:type="dxa"/>
            <w:vMerge w:val="continue"/>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240A0C1F">
            <w:pPr>
              <w:jc w:val="both"/>
              <w:rPr>
                <w:rFonts w:hint="default" w:ascii="Times New Roman" w:hAnsi="Times New Roman" w:cs="Times New Roman"/>
                <w:sz w:val="20"/>
                <w:szCs w:val="20"/>
              </w:rPr>
            </w:pPr>
          </w:p>
        </w:tc>
        <w:tc>
          <w:tcPr>
            <w:tcW w:w="2484" w:type="dxa"/>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1C8967EA">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75%</w:t>
            </w:r>
          </w:p>
        </w:tc>
      </w:tr>
      <w:tr w14:paraId="3F1BB7CA">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90" w:hRule="atLeast"/>
          <w:jc w:val="center"/>
        </w:trPr>
        <w:tc>
          <w:tcPr>
            <w:tcW w:w="1213" w:type="dxa"/>
            <w:vMerge w:val="continue"/>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611921EA">
            <w:pPr>
              <w:jc w:val="both"/>
              <w:rPr>
                <w:rFonts w:hint="default" w:ascii="Times New Roman" w:hAnsi="Times New Roman" w:cs="Times New Roman"/>
                <w:sz w:val="20"/>
                <w:szCs w:val="20"/>
              </w:rPr>
            </w:pPr>
          </w:p>
        </w:tc>
        <w:tc>
          <w:tcPr>
            <w:tcW w:w="1692" w:type="dxa"/>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2BC356D1">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三级（省属）</w:t>
            </w:r>
          </w:p>
        </w:tc>
        <w:tc>
          <w:tcPr>
            <w:tcW w:w="1944" w:type="dxa"/>
            <w:vMerge w:val="continue"/>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7FFE8B11">
            <w:pPr>
              <w:jc w:val="both"/>
              <w:rPr>
                <w:rFonts w:hint="default" w:ascii="Times New Roman" w:hAnsi="Times New Roman" w:cs="Times New Roman"/>
                <w:sz w:val="20"/>
                <w:szCs w:val="20"/>
              </w:rPr>
            </w:pPr>
          </w:p>
        </w:tc>
        <w:tc>
          <w:tcPr>
            <w:tcW w:w="2376" w:type="dxa"/>
            <w:vMerge w:val="continue"/>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647FF67F">
            <w:pPr>
              <w:jc w:val="both"/>
              <w:rPr>
                <w:rFonts w:hint="default" w:ascii="Times New Roman" w:hAnsi="Times New Roman" w:cs="Times New Roman"/>
                <w:sz w:val="20"/>
                <w:szCs w:val="20"/>
              </w:rPr>
            </w:pPr>
          </w:p>
        </w:tc>
        <w:tc>
          <w:tcPr>
            <w:tcW w:w="2484" w:type="dxa"/>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2A322580">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70%</w:t>
            </w:r>
          </w:p>
        </w:tc>
      </w:tr>
      <w:tr w14:paraId="706A4D0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90" w:hRule="atLeast"/>
          <w:jc w:val="center"/>
        </w:trPr>
        <w:tc>
          <w:tcPr>
            <w:tcW w:w="1213" w:type="dxa"/>
            <w:vMerge w:val="restart"/>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7149E06C">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急诊及转诊人员</w:t>
            </w:r>
          </w:p>
          <w:p w14:paraId="701BA12A">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（省内）</w:t>
            </w:r>
          </w:p>
        </w:tc>
        <w:tc>
          <w:tcPr>
            <w:tcW w:w="1692" w:type="dxa"/>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09E11167">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一级及以下</w:t>
            </w:r>
          </w:p>
        </w:tc>
        <w:tc>
          <w:tcPr>
            <w:tcW w:w="1944" w:type="dxa"/>
            <w:vMerge w:val="restart"/>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1D160859">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居民医保门诊慢病和特殊病年度</w:t>
            </w:r>
          </w:p>
          <w:p w14:paraId="7B17C043">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内合并计算一</w:t>
            </w:r>
          </w:p>
          <w:p w14:paraId="0DD8EC4E">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次起付线为</w:t>
            </w:r>
          </w:p>
          <w:p w14:paraId="10F635F3">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350元</w:t>
            </w:r>
          </w:p>
        </w:tc>
        <w:tc>
          <w:tcPr>
            <w:tcW w:w="2376" w:type="dxa"/>
            <w:vMerge w:val="restart"/>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72C9CB0E">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55%</w:t>
            </w:r>
          </w:p>
        </w:tc>
        <w:tc>
          <w:tcPr>
            <w:tcW w:w="2484" w:type="dxa"/>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71F23F81">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85%</w:t>
            </w:r>
          </w:p>
        </w:tc>
      </w:tr>
      <w:tr w14:paraId="7049559A">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90" w:hRule="atLeast"/>
          <w:jc w:val="center"/>
        </w:trPr>
        <w:tc>
          <w:tcPr>
            <w:tcW w:w="1213" w:type="dxa"/>
            <w:vMerge w:val="continue"/>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6359515E">
            <w:pPr>
              <w:jc w:val="both"/>
              <w:rPr>
                <w:rFonts w:hint="default" w:ascii="Times New Roman" w:hAnsi="Times New Roman" w:cs="Times New Roman"/>
                <w:sz w:val="20"/>
                <w:szCs w:val="20"/>
              </w:rPr>
            </w:pPr>
          </w:p>
        </w:tc>
        <w:tc>
          <w:tcPr>
            <w:tcW w:w="1692" w:type="dxa"/>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7A7FA0B5">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二级</w:t>
            </w:r>
          </w:p>
        </w:tc>
        <w:tc>
          <w:tcPr>
            <w:tcW w:w="1944" w:type="dxa"/>
            <w:vMerge w:val="continue"/>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275E60EF">
            <w:pPr>
              <w:jc w:val="both"/>
              <w:rPr>
                <w:rFonts w:hint="default" w:ascii="Times New Roman" w:hAnsi="Times New Roman" w:cs="Times New Roman"/>
                <w:sz w:val="20"/>
                <w:szCs w:val="20"/>
              </w:rPr>
            </w:pPr>
          </w:p>
        </w:tc>
        <w:tc>
          <w:tcPr>
            <w:tcW w:w="2376" w:type="dxa"/>
            <w:vMerge w:val="continue"/>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38B5FBD8">
            <w:pPr>
              <w:jc w:val="both"/>
              <w:rPr>
                <w:rFonts w:hint="default" w:ascii="Times New Roman" w:hAnsi="Times New Roman" w:cs="Times New Roman"/>
                <w:sz w:val="20"/>
                <w:szCs w:val="20"/>
              </w:rPr>
            </w:pPr>
          </w:p>
        </w:tc>
        <w:tc>
          <w:tcPr>
            <w:tcW w:w="2484" w:type="dxa"/>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231BB65E">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75%</w:t>
            </w:r>
          </w:p>
        </w:tc>
      </w:tr>
      <w:tr w14:paraId="63DC4A8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CellMar>
            <w:top w:w="0" w:type="dxa"/>
            <w:left w:w="0" w:type="dxa"/>
            <w:bottom w:w="0" w:type="dxa"/>
            <w:right w:w="0" w:type="dxa"/>
          </w:tblCellMar>
        </w:tblPrEx>
        <w:trPr>
          <w:trHeight w:val="90" w:hRule="atLeast"/>
          <w:jc w:val="center"/>
        </w:trPr>
        <w:tc>
          <w:tcPr>
            <w:tcW w:w="1213" w:type="dxa"/>
            <w:vMerge w:val="continue"/>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4226DE82">
            <w:pPr>
              <w:jc w:val="both"/>
              <w:rPr>
                <w:rFonts w:hint="default" w:ascii="Times New Roman" w:hAnsi="Times New Roman" w:cs="Times New Roman"/>
                <w:sz w:val="20"/>
                <w:szCs w:val="20"/>
              </w:rPr>
            </w:pPr>
          </w:p>
        </w:tc>
        <w:tc>
          <w:tcPr>
            <w:tcW w:w="1692" w:type="dxa"/>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53FF1C5F">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三级</w:t>
            </w:r>
          </w:p>
        </w:tc>
        <w:tc>
          <w:tcPr>
            <w:tcW w:w="1944" w:type="dxa"/>
            <w:vMerge w:val="continue"/>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5D6C9F3E">
            <w:pPr>
              <w:jc w:val="both"/>
              <w:rPr>
                <w:rFonts w:hint="default" w:ascii="Times New Roman" w:hAnsi="Times New Roman" w:cs="Times New Roman"/>
                <w:sz w:val="20"/>
                <w:szCs w:val="20"/>
              </w:rPr>
            </w:pPr>
          </w:p>
        </w:tc>
        <w:tc>
          <w:tcPr>
            <w:tcW w:w="2376" w:type="dxa"/>
            <w:vMerge w:val="continue"/>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4FFBCFFF">
            <w:pPr>
              <w:jc w:val="both"/>
              <w:rPr>
                <w:rFonts w:hint="default" w:ascii="Times New Roman" w:hAnsi="Times New Roman" w:cs="Times New Roman"/>
                <w:sz w:val="20"/>
                <w:szCs w:val="20"/>
              </w:rPr>
            </w:pPr>
          </w:p>
        </w:tc>
        <w:tc>
          <w:tcPr>
            <w:tcW w:w="2484" w:type="dxa"/>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21218887">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70%</w:t>
            </w:r>
          </w:p>
        </w:tc>
      </w:tr>
      <w:tr w14:paraId="390D4D59">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CellMar>
            <w:top w:w="0" w:type="dxa"/>
            <w:left w:w="0" w:type="dxa"/>
            <w:bottom w:w="0" w:type="dxa"/>
            <w:right w:w="0" w:type="dxa"/>
          </w:tblCellMar>
        </w:tblPrEx>
        <w:trPr>
          <w:trHeight w:val="90" w:hRule="atLeast"/>
          <w:jc w:val="center"/>
        </w:trPr>
        <w:tc>
          <w:tcPr>
            <w:tcW w:w="1213" w:type="dxa"/>
            <w:vMerge w:val="continue"/>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33FBCF43">
            <w:pPr>
              <w:jc w:val="both"/>
              <w:rPr>
                <w:rFonts w:hint="default" w:ascii="Times New Roman" w:hAnsi="Times New Roman" w:cs="Times New Roman"/>
                <w:sz w:val="20"/>
                <w:szCs w:val="20"/>
              </w:rPr>
            </w:pPr>
          </w:p>
        </w:tc>
        <w:tc>
          <w:tcPr>
            <w:tcW w:w="1692" w:type="dxa"/>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6B1764D8">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三级（省属）</w:t>
            </w:r>
          </w:p>
        </w:tc>
        <w:tc>
          <w:tcPr>
            <w:tcW w:w="1944" w:type="dxa"/>
            <w:vMerge w:val="continue"/>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1A2B2573">
            <w:pPr>
              <w:jc w:val="both"/>
              <w:rPr>
                <w:rFonts w:hint="default" w:ascii="Times New Roman" w:hAnsi="Times New Roman" w:cs="Times New Roman"/>
                <w:sz w:val="20"/>
                <w:szCs w:val="20"/>
              </w:rPr>
            </w:pPr>
          </w:p>
        </w:tc>
        <w:tc>
          <w:tcPr>
            <w:tcW w:w="2376" w:type="dxa"/>
            <w:vMerge w:val="continue"/>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32B5D307">
            <w:pPr>
              <w:jc w:val="both"/>
              <w:rPr>
                <w:rFonts w:hint="default" w:ascii="Times New Roman" w:hAnsi="Times New Roman" w:cs="Times New Roman"/>
                <w:sz w:val="20"/>
                <w:szCs w:val="20"/>
              </w:rPr>
            </w:pPr>
          </w:p>
        </w:tc>
        <w:tc>
          <w:tcPr>
            <w:tcW w:w="2484" w:type="dxa"/>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499A1508">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65%</w:t>
            </w:r>
          </w:p>
        </w:tc>
      </w:tr>
      <w:tr w14:paraId="0A3A8DA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90" w:hRule="atLeast"/>
          <w:jc w:val="center"/>
        </w:trPr>
        <w:tc>
          <w:tcPr>
            <w:tcW w:w="1213" w:type="dxa"/>
            <w:vMerge w:val="restart"/>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6A737445">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急诊及转诊人员</w:t>
            </w:r>
          </w:p>
          <w:p w14:paraId="6AA32622">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（省外）</w:t>
            </w:r>
          </w:p>
        </w:tc>
        <w:tc>
          <w:tcPr>
            <w:tcW w:w="1692" w:type="dxa"/>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17A15C54">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一级及以下</w:t>
            </w:r>
          </w:p>
        </w:tc>
        <w:tc>
          <w:tcPr>
            <w:tcW w:w="1944" w:type="dxa"/>
            <w:vMerge w:val="continue"/>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1F9256A2">
            <w:pPr>
              <w:jc w:val="both"/>
              <w:rPr>
                <w:rFonts w:hint="default" w:ascii="Times New Roman" w:hAnsi="Times New Roman" w:cs="Times New Roman"/>
                <w:sz w:val="20"/>
                <w:szCs w:val="20"/>
              </w:rPr>
            </w:pPr>
          </w:p>
        </w:tc>
        <w:tc>
          <w:tcPr>
            <w:tcW w:w="2376" w:type="dxa"/>
            <w:vMerge w:val="restart"/>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3738E49F">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50%</w:t>
            </w:r>
          </w:p>
        </w:tc>
        <w:tc>
          <w:tcPr>
            <w:tcW w:w="2484" w:type="dxa"/>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64FBF598">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80%</w:t>
            </w:r>
          </w:p>
        </w:tc>
      </w:tr>
      <w:tr w14:paraId="478005F5">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90" w:hRule="atLeast"/>
          <w:jc w:val="center"/>
        </w:trPr>
        <w:tc>
          <w:tcPr>
            <w:tcW w:w="1213" w:type="dxa"/>
            <w:vMerge w:val="continue"/>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04A7359F">
            <w:pPr>
              <w:jc w:val="both"/>
              <w:rPr>
                <w:rFonts w:hint="default" w:ascii="Times New Roman" w:hAnsi="Times New Roman" w:cs="Times New Roman"/>
                <w:sz w:val="20"/>
                <w:szCs w:val="20"/>
              </w:rPr>
            </w:pPr>
          </w:p>
        </w:tc>
        <w:tc>
          <w:tcPr>
            <w:tcW w:w="1692" w:type="dxa"/>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18AE34AD">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二级</w:t>
            </w:r>
          </w:p>
        </w:tc>
        <w:tc>
          <w:tcPr>
            <w:tcW w:w="1944" w:type="dxa"/>
            <w:vMerge w:val="continue"/>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37A2347D">
            <w:pPr>
              <w:jc w:val="both"/>
              <w:rPr>
                <w:rFonts w:hint="default" w:ascii="Times New Roman" w:hAnsi="Times New Roman" w:cs="Times New Roman"/>
                <w:sz w:val="20"/>
                <w:szCs w:val="20"/>
              </w:rPr>
            </w:pPr>
          </w:p>
        </w:tc>
        <w:tc>
          <w:tcPr>
            <w:tcW w:w="2376" w:type="dxa"/>
            <w:vMerge w:val="continue"/>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7F515B91">
            <w:pPr>
              <w:jc w:val="both"/>
              <w:rPr>
                <w:rFonts w:hint="default" w:ascii="Times New Roman" w:hAnsi="Times New Roman" w:cs="Times New Roman"/>
                <w:sz w:val="20"/>
                <w:szCs w:val="20"/>
              </w:rPr>
            </w:pPr>
          </w:p>
        </w:tc>
        <w:tc>
          <w:tcPr>
            <w:tcW w:w="2484" w:type="dxa"/>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46731766">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70%</w:t>
            </w:r>
          </w:p>
        </w:tc>
      </w:tr>
      <w:tr w14:paraId="29032E8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90" w:hRule="atLeast"/>
          <w:jc w:val="center"/>
        </w:trPr>
        <w:tc>
          <w:tcPr>
            <w:tcW w:w="1213" w:type="dxa"/>
            <w:vMerge w:val="continue"/>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1989E869">
            <w:pPr>
              <w:jc w:val="both"/>
              <w:rPr>
                <w:rFonts w:hint="default" w:ascii="Times New Roman" w:hAnsi="Times New Roman" w:cs="Times New Roman"/>
                <w:sz w:val="20"/>
                <w:szCs w:val="20"/>
              </w:rPr>
            </w:pPr>
          </w:p>
        </w:tc>
        <w:tc>
          <w:tcPr>
            <w:tcW w:w="1692" w:type="dxa"/>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27B67300">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三级</w:t>
            </w:r>
          </w:p>
        </w:tc>
        <w:tc>
          <w:tcPr>
            <w:tcW w:w="1944" w:type="dxa"/>
            <w:vMerge w:val="continue"/>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0EA4A881">
            <w:pPr>
              <w:jc w:val="both"/>
              <w:rPr>
                <w:rFonts w:hint="default" w:ascii="Times New Roman" w:hAnsi="Times New Roman" w:cs="Times New Roman"/>
                <w:sz w:val="20"/>
                <w:szCs w:val="20"/>
              </w:rPr>
            </w:pPr>
          </w:p>
        </w:tc>
        <w:tc>
          <w:tcPr>
            <w:tcW w:w="2376" w:type="dxa"/>
            <w:vMerge w:val="continue"/>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2FC15AD3">
            <w:pPr>
              <w:jc w:val="both"/>
              <w:rPr>
                <w:rFonts w:hint="default" w:ascii="Times New Roman" w:hAnsi="Times New Roman" w:cs="Times New Roman"/>
                <w:sz w:val="20"/>
                <w:szCs w:val="20"/>
              </w:rPr>
            </w:pPr>
          </w:p>
        </w:tc>
        <w:tc>
          <w:tcPr>
            <w:tcW w:w="2484" w:type="dxa"/>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50D1226D">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65%</w:t>
            </w:r>
          </w:p>
        </w:tc>
      </w:tr>
      <w:tr w14:paraId="798C8D6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CellMar>
            <w:top w:w="0" w:type="dxa"/>
            <w:left w:w="0" w:type="dxa"/>
            <w:bottom w:w="0" w:type="dxa"/>
            <w:right w:w="0" w:type="dxa"/>
          </w:tblCellMar>
        </w:tblPrEx>
        <w:trPr>
          <w:trHeight w:val="90" w:hRule="atLeast"/>
          <w:jc w:val="center"/>
        </w:trPr>
        <w:tc>
          <w:tcPr>
            <w:tcW w:w="1213" w:type="dxa"/>
            <w:vMerge w:val="restart"/>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6249A2AF">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其他临时外出就医人员（省内）</w:t>
            </w:r>
          </w:p>
        </w:tc>
        <w:tc>
          <w:tcPr>
            <w:tcW w:w="1692" w:type="dxa"/>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77D121E0">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一级及以下</w:t>
            </w:r>
          </w:p>
        </w:tc>
        <w:tc>
          <w:tcPr>
            <w:tcW w:w="1944" w:type="dxa"/>
            <w:vMerge w:val="restart"/>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23904111">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居民医保门诊慢病和特殊病年度</w:t>
            </w:r>
          </w:p>
          <w:p w14:paraId="6FF4F111">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内合并计算一</w:t>
            </w:r>
          </w:p>
          <w:p w14:paraId="085D305C">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次起付线为</w:t>
            </w:r>
          </w:p>
          <w:p w14:paraId="5CC2D49D">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350元</w:t>
            </w:r>
          </w:p>
        </w:tc>
        <w:tc>
          <w:tcPr>
            <w:tcW w:w="2376" w:type="dxa"/>
            <w:vMerge w:val="restart"/>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0CAA249C">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45%</w:t>
            </w:r>
          </w:p>
        </w:tc>
        <w:tc>
          <w:tcPr>
            <w:tcW w:w="2484" w:type="dxa"/>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444E9279">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75%</w:t>
            </w:r>
          </w:p>
        </w:tc>
      </w:tr>
      <w:tr w14:paraId="0A75BF0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CellMar>
            <w:top w:w="0" w:type="dxa"/>
            <w:left w:w="0" w:type="dxa"/>
            <w:bottom w:w="0" w:type="dxa"/>
            <w:right w:w="0" w:type="dxa"/>
          </w:tblCellMar>
        </w:tblPrEx>
        <w:trPr>
          <w:trHeight w:val="90" w:hRule="atLeast"/>
          <w:jc w:val="center"/>
        </w:trPr>
        <w:tc>
          <w:tcPr>
            <w:tcW w:w="1213" w:type="dxa"/>
            <w:vMerge w:val="continue"/>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0709C96C">
            <w:pPr>
              <w:jc w:val="both"/>
              <w:rPr>
                <w:rFonts w:hint="default" w:ascii="Times New Roman" w:hAnsi="Times New Roman" w:cs="Times New Roman"/>
                <w:sz w:val="20"/>
                <w:szCs w:val="20"/>
              </w:rPr>
            </w:pPr>
          </w:p>
        </w:tc>
        <w:tc>
          <w:tcPr>
            <w:tcW w:w="1692" w:type="dxa"/>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09266350">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二级</w:t>
            </w:r>
          </w:p>
        </w:tc>
        <w:tc>
          <w:tcPr>
            <w:tcW w:w="1944" w:type="dxa"/>
            <w:vMerge w:val="continue"/>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7D32FC71">
            <w:pPr>
              <w:jc w:val="both"/>
              <w:rPr>
                <w:rFonts w:hint="default" w:ascii="Times New Roman" w:hAnsi="Times New Roman" w:cs="Times New Roman"/>
                <w:sz w:val="20"/>
                <w:szCs w:val="20"/>
              </w:rPr>
            </w:pPr>
          </w:p>
        </w:tc>
        <w:tc>
          <w:tcPr>
            <w:tcW w:w="2376" w:type="dxa"/>
            <w:vMerge w:val="continue"/>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65C37685">
            <w:pPr>
              <w:jc w:val="both"/>
              <w:rPr>
                <w:rFonts w:hint="default" w:ascii="Times New Roman" w:hAnsi="Times New Roman" w:cs="Times New Roman"/>
                <w:sz w:val="20"/>
                <w:szCs w:val="20"/>
              </w:rPr>
            </w:pPr>
          </w:p>
        </w:tc>
        <w:tc>
          <w:tcPr>
            <w:tcW w:w="2484" w:type="dxa"/>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5A75E0B8">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65%</w:t>
            </w:r>
          </w:p>
        </w:tc>
      </w:tr>
      <w:tr w14:paraId="79B6082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90" w:hRule="atLeast"/>
          <w:jc w:val="center"/>
        </w:trPr>
        <w:tc>
          <w:tcPr>
            <w:tcW w:w="1213" w:type="dxa"/>
            <w:vMerge w:val="continue"/>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466D59F2">
            <w:pPr>
              <w:jc w:val="both"/>
              <w:rPr>
                <w:rFonts w:hint="default" w:ascii="Times New Roman" w:hAnsi="Times New Roman" w:cs="Times New Roman"/>
                <w:sz w:val="20"/>
                <w:szCs w:val="20"/>
              </w:rPr>
            </w:pPr>
          </w:p>
        </w:tc>
        <w:tc>
          <w:tcPr>
            <w:tcW w:w="1692" w:type="dxa"/>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3DC6BD64">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三级</w:t>
            </w:r>
          </w:p>
        </w:tc>
        <w:tc>
          <w:tcPr>
            <w:tcW w:w="1944" w:type="dxa"/>
            <w:vMerge w:val="continue"/>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73B80239">
            <w:pPr>
              <w:jc w:val="both"/>
              <w:rPr>
                <w:rFonts w:hint="default" w:ascii="Times New Roman" w:hAnsi="Times New Roman" w:cs="Times New Roman"/>
                <w:sz w:val="20"/>
                <w:szCs w:val="20"/>
              </w:rPr>
            </w:pPr>
          </w:p>
        </w:tc>
        <w:tc>
          <w:tcPr>
            <w:tcW w:w="2376" w:type="dxa"/>
            <w:vMerge w:val="continue"/>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21206C80">
            <w:pPr>
              <w:jc w:val="both"/>
              <w:rPr>
                <w:rFonts w:hint="default" w:ascii="Times New Roman" w:hAnsi="Times New Roman" w:cs="Times New Roman"/>
                <w:sz w:val="20"/>
                <w:szCs w:val="20"/>
              </w:rPr>
            </w:pPr>
          </w:p>
        </w:tc>
        <w:tc>
          <w:tcPr>
            <w:tcW w:w="2484" w:type="dxa"/>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6A9266D6">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60%</w:t>
            </w:r>
          </w:p>
        </w:tc>
      </w:tr>
      <w:tr w14:paraId="2ED09F0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90" w:hRule="atLeast"/>
          <w:jc w:val="center"/>
        </w:trPr>
        <w:tc>
          <w:tcPr>
            <w:tcW w:w="1213" w:type="dxa"/>
            <w:vMerge w:val="continue"/>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15CBFFEA">
            <w:pPr>
              <w:jc w:val="both"/>
              <w:rPr>
                <w:rFonts w:hint="default" w:ascii="Times New Roman" w:hAnsi="Times New Roman" w:cs="Times New Roman"/>
                <w:sz w:val="20"/>
                <w:szCs w:val="20"/>
              </w:rPr>
            </w:pPr>
          </w:p>
        </w:tc>
        <w:tc>
          <w:tcPr>
            <w:tcW w:w="1692" w:type="dxa"/>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0323DE92">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三级（省属）</w:t>
            </w:r>
          </w:p>
        </w:tc>
        <w:tc>
          <w:tcPr>
            <w:tcW w:w="1944" w:type="dxa"/>
            <w:vMerge w:val="continue"/>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1C941DE3">
            <w:pPr>
              <w:jc w:val="both"/>
              <w:rPr>
                <w:rFonts w:hint="default" w:ascii="Times New Roman" w:hAnsi="Times New Roman" w:cs="Times New Roman"/>
                <w:sz w:val="20"/>
                <w:szCs w:val="20"/>
              </w:rPr>
            </w:pPr>
          </w:p>
        </w:tc>
        <w:tc>
          <w:tcPr>
            <w:tcW w:w="2376" w:type="dxa"/>
            <w:vMerge w:val="continue"/>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11E142C9">
            <w:pPr>
              <w:jc w:val="both"/>
              <w:rPr>
                <w:rFonts w:hint="default" w:ascii="Times New Roman" w:hAnsi="Times New Roman" w:cs="Times New Roman"/>
                <w:sz w:val="20"/>
                <w:szCs w:val="20"/>
              </w:rPr>
            </w:pPr>
          </w:p>
        </w:tc>
        <w:tc>
          <w:tcPr>
            <w:tcW w:w="2484" w:type="dxa"/>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49F706EA">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55%</w:t>
            </w:r>
          </w:p>
        </w:tc>
      </w:tr>
      <w:tr w14:paraId="63E190B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CellMar>
            <w:top w:w="0" w:type="dxa"/>
            <w:left w:w="0" w:type="dxa"/>
            <w:bottom w:w="0" w:type="dxa"/>
            <w:right w:w="0" w:type="dxa"/>
          </w:tblCellMar>
        </w:tblPrEx>
        <w:trPr>
          <w:trHeight w:val="90" w:hRule="atLeast"/>
          <w:jc w:val="center"/>
        </w:trPr>
        <w:tc>
          <w:tcPr>
            <w:tcW w:w="1213" w:type="dxa"/>
            <w:vMerge w:val="restart"/>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14AC2B85">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both"/>
              <w:rPr>
                <w:rFonts w:hint="default" w:ascii="Times New Roman" w:hAnsi="Times New Roman" w:cs="Times New Roman"/>
                <w:sz w:val="21"/>
                <w:szCs w:val="21"/>
              </w:rPr>
            </w:pPr>
            <w:r>
              <w:rPr>
                <w:rFonts w:hint="eastAsia" w:ascii="宋体" w:hAnsi="宋体" w:eastAsia="宋体" w:cs="宋体"/>
                <w:sz w:val="24"/>
                <w:szCs w:val="24"/>
                <w:bdr w:val="none" w:color="auto" w:sz="0" w:space="0"/>
              </w:rPr>
              <w:t>其他临时外出就医人员（省外）</w:t>
            </w:r>
          </w:p>
        </w:tc>
        <w:tc>
          <w:tcPr>
            <w:tcW w:w="1692" w:type="dxa"/>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2E281709">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一级及以下</w:t>
            </w:r>
          </w:p>
        </w:tc>
        <w:tc>
          <w:tcPr>
            <w:tcW w:w="1944" w:type="dxa"/>
            <w:vMerge w:val="continue"/>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13172538">
            <w:pPr>
              <w:jc w:val="both"/>
              <w:rPr>
                <w:rFonts w:hint="default" w:ascii="Times New Roman" w:hAnsi="Times New Roman" w:cs="Times New Roman"/>
                <w:sz w:val="20"/>
                <w:szCs w:val="20"/>
              </w:rPr>
            </w:pPr>
          </w:p>
        </w:tc>
        <w:tc>
          <w:tcPr>
            <w:tcW w:w="2376" w:type="dxa"/>
            <w:vMerge w:val="restart"/>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2A6AD406">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40%</w:t>
            </w:r>
          </w:p>
        </w:tc>
        <w:tc>
          <w:tcPr>
            <w:tcW w:w="2484" w:type="dxa"/>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226239B9">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70%</w:t>
            </w:r>
          </w:p>
        </w:tc>
      </w:tr>
      <w:tr w14:paraId="2F626211">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90" w:hRule="atLeast"/>
          <w:jc w:val="center"/>
        </w:trPr>
        <w:tc>
          <w:tcPr>
            <w:tcW w:w="1213" w:type="dxa"/>
            <w:vMerge w:val="continue"/>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097F4D58">
            <w:pPr>
              <w:jc w:val="both"/>
              <w:rPr>
                <w:rFonts w:hint="default" w:ascii="Times New Roman" w:hAnsi="Times New Roman" w:cs="Times New Roman"/>
                <w:sz w:val="20"/>
                <w:szCs w:val="20"/>
              </w:rPr>
            </w:pPr>
          </w:p>
        </w:tc>
        <w:tc>
          <w:tcPr>
            <w:tcW w:w="1692" w:type="dxa"/>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29641154">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二级</w:t>
            </w:r>
          </w:p>
        </w:tc>
        <w:tc>
          <w:tcPr>
            <w:tcW w:w="1944" w:type="dxa"/>
            <w:vMerge w:val="continue"/>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590582BA">
            <w:pPr>
              <w:jc w:val="both"/>
              <w:rPr>
                <w:rFonts w:hint="default" w:ascii="Times New Roman" w:hAnsi="Times New Roman" w:cs="Times New Roman"/>
                <w:sz w:val="20"/>
                <w:szCs w:val="20"/>
              </w:rPr>
            </w:pPr>
          </w:p>
        </w:tc>
        <w:tc>
          <w:tcPr>
            <w:tcW w:w="2376" w:type="dxa"/>
            <w:vMerge w:val="continue"/>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649F4B53">
            <w:pPr>
              <w:jc w:val="both"/>
              <w:rPr>
                <w:rFonts w:hint="default" w:ascii="Times New Roman" w:hAnsi="Times New Roman" w:cs="Times New Roman"/>
                <w:sz w:val="20"/>
                <w:szCs w:val="20"/>
              </w:rPr>
            </w:pPr>
          </w:p>
        </w:tc>
        <w:tc>
          <w:tcPr>
            <w:tcW w:w="2484" w:type="dxa"/>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70A02FBB">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60%</w:t>
            </w:r>
          </w:p>
        </w:tc>
      </w:tr>
      <w:tr w14:paraId="60D73F0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trHeight w:val="90" w:hRule="atLeast"/>
          <w:jc w:val="center"/>
        </w:trPr>
        <w:tc>
          <w:tcPr>
            <w:tcW w:w="1213" w:type="dxa"/>
            <w:vMerge w:val="continue"/>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1CD56390">
            <w:pPr>
              <w:jc w:val="both"/>
              <w:rPr>
                <w:rFonts w:hint="default" w:ascii="Times New Roman" w:hAnsi="Times New Roman" w:cs="Times New Roman"/>
                <w:sz w:val="20"/>
                <w:szCs w:val="20"/>
              </w:rPr>
            </w:pPr>
          </w:p>
        </w:tc>
        <w:tc>
          <w:tcPr>
            <w:tcW w:w="1692" w:type="dxa"/>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390F1615">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eastAsia" w:ascii="宋体" w:hAnsi="宋体" w:eastAsia="宋体" w:cs="宋体"/>
                <w:sz w:val="24"/>
                <w:szCs w:val="24"/>
                <w:bdr w:val="none" w:color="auto" w:sz="0" w:space="0"/>
              </w:rPr>
              <w:t>三级</w:t>
            </w:r>
          </w:p>
        </w:tc>
        <w:tc>
          <w:tcPr>
            <w:tcW w:w="1944" w:type="dxa"/>
            <w:vMerge w:val="continue"/>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56783C40">
            <w:pPr>
              <w:jc w:val="both"/>
              <w:rPr>
                <w:rFonts w:hint="default" w:ascii="Times New Roman" w:hAnsi="Times New Roman" w:cs="Times New Roman"/>
                <w:sz w:val="20"/>
                <w:szCs w:val="20"/>
              </w:rPr>
            </w:pPr>
          </w:p>
        </w:tc>
        <w:tc>
          <w:tcPr>
            <w:tcW w:w="2376" w:type="dxa"/>
            <w:vMerge w:val="continue"/>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6CC45E68">
            <w:pPr>
              <w:jc w:val="both"/>
              <w:rPr>
                <w:rFonts w:hint="default" w:ascii="Times New Roman" w:hAnsi="Times New Roman" w:cs="Times New Roman"/>
                <w:sz w:val="20"/>
                <w:szCs w:val="20"/>
              </w:rPr>
            </w:pPr>
          </w:p>
        </w:tc>
        <w:tc>
          <w:tcPr>
            <w:tcW w:w="2484" w:type="dxa"/>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6D0F30A3">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center"/>
              <w:rPr>
                <w:rFonts w:hint="default" w:ascii="Times New Roman" w:hAnsi="Times New Roman" w:cs="Times New Roman"/>
                <w:sz w:val="21"/>
                <w:szCs w:val="21"/>
              </w:rPr>
            </w:pPr>
            <w:r>
              <w:rPr>
                <w:rFonts w:hint="default" w:ascii="Times New Roman" w:hAnsi="Times New Roman" w:eastAsia="宋体" w:cs="Times New Roman"/>
                <w:sz w:val="24"/>
                <w:szCs w:val="24"/>
                <w:bdr w:val="none" w:color="auto" w:sz="0" w:space="0"/>
              </w:rPr>
              <w:t>55%</w:t>
            </w:r>
          </w:p>
        </w:tc>
      </w:tr>
      <w:tr w14:paraId="6ADFA09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tblCellMar>
            <w:top w:w="0" w:type="dxa"/>
            <w:left w:w="0" w:type="dxa"/>
            <w:bottom w:w="0" w:type="dxa"/>
            <w:right w:w="0" w:type="dxa"/>
          </w:tblCellMar>
        </w:tblPrEx>
        <w:trPr>
          <w:trHeight w:val="90" w:hRule="atLeast"/>
          <w:jc w:val="center"/>
        </w:trPr>
        <w:tc>
          <w:tcPr>
            <w:tcW w:w="9709" w:type="dxa"/>
            <w:gridSpan w:val="5"/>
            <w:tcBorders>
              <w:top w:val="nil"/>
              <w:left w:val="single" w:color="auto" w:sz="6" w:space="0"/>
              <w:bottom w:val="single" w:color="auto" w:sz="6" w:space="0"/>
              <w:right w:val="single" w:color="auto" w:sz="6" w:space="0"/>
            </w:tcBorders>
            <w:shd w:val="clear" w:color="auto" w:fill="F2DCDC"/>
            <w:tcMar>
              <w:top w:w="0" w:type="dxa"/>
              <w:left w:w="108" w:type="dxa"/>
              <w:bottom w:w="0" w:type="dxa"/>
              <w:right w:w="108" w:type="dxa"/>
            </w:tcMar>
            <w:vAlign w:val="center"/>
          </w:tcPr>
          <w:p w14:paraId="1942D2E0">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0" w:afterAutospacing="0"/>
              <w:ind w:left="0" w:right="0"/>
              <w:jc w:val="left"/>
              <w:rPr>
                <w:rFonts w:hint="default" w:ascii="Times New Roman" w:hAnsi="Times New Roman" w:cs="Times New Roman"/>
                <w:sz w:val="21"/>
                <w:szCs w:val="21"/>
              </w:rPr>
            </w:pPr>
            <w:r>
              <w:rPr>
                <w:rFonts w:hint="eastAsia" w:ascii="宋体" w:hAnsi="宋体" w:eastAsia="宋体" w:cs="宋体"/>
                <w:sz w:val="24"/>
                <w:szCs w:val="24"/>
                <w:bdr w:val="none" w:color="auto" w:sz="0" w:space="0"/>
              </w:rPr>
              <w:t>注：</w:t>
            </w:r>
            <w:r>
              <w:rPr>
                <w:rFonts w:hint="default" w:ascii="Times New Roman" w:hAnsi="Times New Roman" w:eastAsia="宋体" w:cs="Times New Roman"/>
                <w:sz w:val="24"/>
                <w:szCs w:val="24"/>
                <w:bdr w:val="none" w:color="auto" w:sz="0" w:space="0"/>
              </w:rPr>
              <w:t>1.</w:t>
            </w:r>
            <w:r>
              <w:rPr>
                <w:rFonts w:hint="eastAsia" w:ascii="宋体" w:hAnsi="宋体" w:eastAsia="宋体" w:cs="宋体"/>
                <w:sz w:val="24"/>
                <w:szCs w:val="24"/>
                <w:bdr w:val="none" w:color="auto" w:sz="0" w:space="0"/>
              </w:rPr>
              <w:t>常见慢病限额根据病种不同限额也不同；特殊慢性病与住院限额合并计算（特殊除外）。</w:t>
            </w:r>
            <w:r>
              <w:rPr>
                <w:rFonts w:hint="default" w:ascii="Times New Roman" w:hAnsi="Times New Roman" w:eastAsia="宋体" w:cs="Times New Roman"/>
                <w:sz w:val="24"/>
                <w:szCs w:val="24"/>
                <w:bdr w:val="none" w:color="auto" w:sz="0" w:space="0"/>
              </w:rPr>
              <w:t>2.</w:t>
            </w:r>
            <w:r>
              <w:rPr>
                <w:rFonts w:hint="eastAsia" w:ascii="宋体" w:hAnsi="宋体" w:eastAsia="宋体" w:cs="宋体"/>
                <w:sz w:val="24"/>
                <w:szCs w:val="24"/>
                <w:bdr w:val="none" w:color="auto" w:sz="0" w:space="0"/>
              </w:rPr>
              <w:t>符合医保目录范围内的医疗费用具体报销比例如上。</w:t>
            </w:r>
          </w:p>
        </w:tc>
      </w:tr>
    </w:tbl>
    <w:p w14:paraId="391DBAE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560" w:lineRule="atLeast"/>
        <w:ind w:left="0" w:right="0" w:firstLine="640"/>
        <w:jc w:val="both"/>
        <w:rPr>
          <w:rFonts w:hint="default" w:ascii="Times New Roman" w:hAnsi="Times New Roman" w:cs="Times New Roman"/>
          <w:i w:val="0"/>
          <w:iCs w:val="0"/>
          <w:caps w:val="0"/>
          <w:color w:val="333333"/>
          <w:spacing w:val="0"/>
          <w:sz w:val="21"/>
          <w:szCs w:val="21"/>
        </w:rPr>
      </w:pPr>
      <w:r>
        <w:rPr>
          <w:rFonts w:hint="default" w:ascii="Times New Roman" w:hAnsi="Times New Roman" w:cs="Times New Roman"/>
          <w:i w:val="0"/>
          <w:iCs w:val="0"/>
          <w:caps w:val="0"/>
          <w:color w:val="333333"/>
          <w:spacing w:val="0"/>
          <w:sz w:val="21"/>
          <w:szCs w:val="21"/>
          <w:bdr w:val="none" w:color="auto" w:sz="0" w:space="0"/>
          <w:shd w:val="clear" w:fill="FFFFFF"/>
        </w:rPr>
        <w:t> </w:t>
      </w:r>
    </w:p>
    <w:p w14:paraId="6E05683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6A3474"/>
    <w:rsid w:val="6D6A34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10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2026-09-08T06:37:00Z</dcterms:created>
  <dc:creator>sunnyM </dc:creator>
  <cp:lastModifiedBy>sunnyM </cp:lastModifiedBy>
  <dcterms:modified xsi:type="dcterms:W3CDTF">2026-09-08T06:59:20Z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FC942B689876436EB80CD143B1C16CD5_11</vt:lpwstr>
  </property>
  <property fmtid="{D5CDD505-2E9C-101B-9397-08002B2CF9AE}" pid="4" name="KSOTemplateDocerSaveRecord">
    <vt:lpwstr>eyJoZGlkIjoiMTQwZTczYWRkMTI3MzQ4OGE5NzJjYzY4YzU3MGM1YmUiLCJ1c2VySWQiOiIyNDExNzMzNTkifQ==</vt:lpwstr>
  </property>
</Properties>
</file>