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D02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30" w:lineRule="atLeast"/>
        <w:ind w:left="0" w:right="0" w:firstLine="643"/>
        <w:jc w:val="center"/>
        <w:rPr>
          <w:rFonts w:hint="eastAsia" w:ascii="Times New Roman" w:hAnsi="Times New Roman" w:eastAsia="黑体" w:cs="Times New Roman"/>
          <w:i w:val="0"/>
          <w:iCs w:val="0"/>
          <w:caps w:val="0"/>
          <w:color w:val="333333"/>
          <w:spacing w:val="0"/>
          <w:sz w:val="21"/>
          <w:szCs w:val="21"/>
          <w:lang w:eastAsia="zh-CN"/>
        </w:rPr>
      </w:pPr>
      <w:r>
        <w:rPr>
          <w:rFonts w:ascii="黑体" w:hAnsi="宋体" w:eastAsia="黑体" w:cs="黑体"/>
          <w:b/>
          <w:bCs/>
          <w:i w:val="0"/>
          <w:iCs w:val="0"/>
          <w:caps w:val="0"/>
          <w:color w:val="4F81BD"/>
          <w:spacing w:val="0"/>
          <w:sz w:val="52"/>
          <w:szCs w:val="52"/>
          <w:shd w:val="clear" w:fill="FFFFFF"/>
        </w:rPr>
        <w:t>住院报销</w:t>
      </w:r>
      <w:r>
        <w:rPr>
          <w:rFonts w:hint="eastAsia" w:ascii="黑体" w:hAnsi="宋体" w:eastAsia="黑体" w:cs="黑体"/>
          <w:b/>
          <w:bCs/>
          <w:i w:val="0"/>
          <w:iCs w:val="0"/>
          <w:caps w:val="0"/>
          <w:color w:val="4F81BD"/>
          <w:spacing w:val="0"/>
          <w:sz w:val="52"/>
          <w:szCs w:val="52"/>
          <w:shd w:val="clear" w:fill="FFFFFF"/>
          <w:lang w:eastAsia="zh-CN"/>
        </w:rPr>
        <w:t>政策</w:t>
      </w:r>
    </w:p>
    <w:p w14:paraId="52F866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30" w:lineRule="atLeast"/>
        <w:ind w:left="0" w:right="0" w:firstLine="643"/>
        <w:jc w:val="both"/>
        <w:rPr>
          <w:rFonts w:hint="default" w:ascii="Times New Roman" w:hAnsi="Times New Roman" w:cs="Times New Roman"/>
          <w:i w:val="0"/>
          <w:iCs w:val="0"/>
          <w:caps w:val="0"/>
          <w:color w:val="333333"/>
          <w:spacing w:val="0"/>
          <w:sz w:val="21"/>
          <w:szCs w:val="21"/>
        </w:rPr>
      </w:pPr>
      <w:r>
        <w:rPr>
          <w:rFonts w:hint="eastAsia" w:ascii="黑体" w:hAnsi="宋体" w:eastAsia="黑体" w:cs="黑体"/>
          <w:b/>
          <w:bCs/>
          <w:i w:val="0"/>
          <w:iCs w:val="0"/>
          <w:caps w:val="0"/>
          <w:color w:val="4F81BD"/>
          <w:spacing w:val="0"/>
          <w:sz w:val="32"/>
          <w:szCs w:val="32"/>
          <w:shd w:val="clear" w:fill="FFFFFF"/>
        </w:rPr>
        <w:t>一、职工医保住院费用报销比例是多少？</w:t>
      </w:r>
    </w:p>
    <w:p w14:paraId="6D1172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30" w:lineRule="atLeast"/>
        <w:ind w:left="0" w:right="0" w:firstLine="640"/>
        <w:jc w:val="both"/>
        <w:rPr>
          <w:rFonts w:hint="default" w:ascii="Times New Roman" w:hAnsi="Times New Roman" w:cs="Times New Roman"/>
          <w:i w:val="0"/>
          <w:iCs w:val="0"/>
          <w:caps w:val="0"/>
          <w:color w:val="333333"/>
          <w:spacing w:val="0"/>
          <w:sz w:val="21"/>
          <w:szCs w:val="21"/>
        </w:rPr>
      </w:pPr>
      <w:r>
        <w:rPr>
          <w:rFonts w:ascii="仿宋" w:hAnsi="仿宋" w:eastAsia="仿宋" w:cs="仿宋"/>
          <w:i w:val="0"/>
          <w:iCs w:val="0"/>
          <w:caps w:val="0"/>
          <w:color w:val="333333"/>
          <w:spacing w:val="0"/>
          <w:sz w:val="32"/>
          <w:szCs w:val="32"/>
          <w:shd w:val="clear" w:fill="FFFFFF"/>
        </w:rPr>
        <w:t>职工医保参保人员在定点医疗机构住院发生的医疗费用，符合医保政策范围内医疗费用具体</w:t>
      </w:r>
      <w:r>
        <w:rPr>
          <w:rFonts w:hint="eastAsia" w:ascii="仿宋" w:hAnsi="仿宋" w:eastAsia="仿宋" w:cs="仿宋"/>
          <w:i w:val="0"/>
          <w:iCs w:val="0"/>
          <w:caps w:val="0"/>
          <w:color w:val="333333"/>
          <w:spacing w:val="0"/>
          <w:sz w:val="32"/>
          <w:szCs w:val="32"/>
          <w:shd w:val="clear" w:fill="FFFFFF"/>
        </w:rPr>
        <w:t>报销比例如下：</w:t>
      </w:r>
    </w:p>
    <w:tbl>
      <w:tblPr>
        <w:tblStyle w:val="3"/>
        <w:tblW w:w="804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6"/>
        <w:gridCol w:w="960"/>
        <w:gridCol w:w="630"/>
        <w:gridCol w:w="825"/>
        <w:gridCol w:w="695"/>
        <w:gridCol w:w="595"/>
        <w:gridCol w:w="677"/>
        <w:gridCol w:w="838"/>
        <w:gridCol w:w="532"/>
        <w:gridCol w:w="554"/>
        <w:gridCol w:w="744"/>
      </w:tblGrid>
      <w:tr w14:paraId="5AF0E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8046" w:type="dxa"/>
            <w:gridSpan w:val="11"/>
            <w:tcBorders>
              <w:top w:val="single" w:color="80DED6" w:sz="8" w:space="0"/>
              <w:left w:val="single" w:color="80DED6" w:sz="8" w:space="0"/>
              <w:bottom w:val="single" w:color="80DED6" w:sz="8" w:space="0"/>
              <w:right w:val="single" w:color="80DED6" w:sz="8" w:space="0"/>
            </w:tcBorders>
            <w:shd w:val="clear" w:color="auto" w:fill="80DED6"/>
            <w:vAlign w:val="center"/>
          </w:tcPr>
          <w:p w14:paraId="21742188">
            <w:pPr>
              <w:keepNext w:val="0"/>
              <w:keepLines w:val="0"/>
              <w:widowControl/>
              <w:suppressLineNumbers w:val="0"/>
              <w:jc w:val="center"/>
              <w:textAlignment w:val="center"/>
              <w:rPr>
                <w:rFonts w:ascii="方正小标宋简体" w:hAnsi="方正小标宋简体" w:eastAsia="方正小标宋简体" w:cs="方正小标宋简体"/>
                <w:b/>
                <w:bCs/>
                <w:i w:val="0"/>
                <w:iCs w:val="0"/>
                <w:color w:val="08090C"/>
                <w:sz w:val="32"/>
                <w:szCs w:val="32"/>
                <w:u w:val="none"/>
              </w:rPr>
            </w:pPr>
            <w:r>
              <w:rPr>
                <w:rFonts w:hint="default" w:ascii="方正小标宋简体" w:hAnsi="方正小标宋简体" w:eastAsia="方正小标宋简体" w:cs="方正小标宋简体"/>
                <w:b/>
                <w:bCs/>
                <w:i w:val="0"/>
                <w:iCs w:val="0"/>
                <w:color w:val="08090C"/>
                <w:kern w:val="0"/>
                <w:sz w:val="32"/>
                <w:szCs w:val="32"/>
                <w:u w:val="none"/>
                <w:lang w:val="en-US" w:eastAsia="zh-CN" w:bidi="ar"/>
              </w:rPr>
              <w:t>蚌埠市（统筹地区）城镇职工基本医疗统筹基金及救助支付比例</w:t>
            </w:r>
          </w:p>
        </w:tc>
      </w:tr>
      <w:tr w14:paraId="0D9E3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96" w:type="dxa"/>
            <w:vMerge w:val="restart"/>
            <w:tcBorders>
              <w:top w:val="nil"/>
              <w:left w:val="single" w:color="000000" w:sz="8" w:space="0"/>
              <w:bottom w:val="single" w:color="000000" w:sz="8" w:space="0"/>
              <w:right w:val="single" w:color="000000" w:sz="8" w:space="0"/>
            </w:tcBorders>
            <w:shd w:val="clear" w:color="auto" w:fill="FFFFFF"/>
            <w:vAlign w:val="center"/>
          </w:tcPr>
          <w:p w14:paraId="79DE473D">
            <w:pPr>
              <w:keepNext w:val="0"/>
              <w:keepLines w:val="0"/>
              <w:widowControl/>
              <w:suppressLineNumbers w:val="0"/>
              <w:jc w:val="center"/>
              <w:textAlignment w:val="center"/>
              <w:rPr>
                <w:rFonts w:ascii="仿宋" w:hAnsi="仿宋" w:eastAsia="仿宋" w:cs="仿宋"/>
                <w:b/>
                <w:bCs/>
                <w:i w:val="0"/>
                <w:iCs w:val="0"/>
                <w:color w:val="08090C"/>
                <w:sz w:val="22"/>
                <w:szCs w:val="22"/>
                <w:u w:val="none"/>
              </w:rPr>
            </w:pPr>
            <w:r>
              <w:rPr>
                <w:rFonts w:hint="eastAsia" w:ascii="仿宋" w:hAnsi="仿宋" w:eastAsia="仿宋" w:cs="仿宋"/>
                <w:b/>
                <w:bCs/>
                <w:i w:val="0"/>
                <w:iCs w:val="0"/>
                <w:color w:val="08090C"/>
                <w:kern w:val="0"/>
                <w:sz w:val="22"/>
                <w:szCs w:val="22"/>
                <w:u w:val="none"/>
                <w:lang w:val="en-US" w:eastAsia="zh-CN" w:bidi="ar"/>
              </w:rPr>
              <w:t>备案类别</w:t>
            </w:r>
          </w:p>
        </w:tc>
        <w:tc>
          <w:tcPr>
            <w:tcW w:w="960" w:type="dxa"/>
            <w:vMerge w:val="restart"/>
            <w:tcBorders>
              <w:top w:val="single" w:color="80DED6" w:sz="8" w:space="0"/>
              <w:left w:val="nil"/>
              <w:bottom w:val="single" w:color="80DED6" w:sz="8" w:space="0"/>
              <w:right w:val="single" w:color="80DED6" w:sz="8" w:space="0"/>
            </w:tcBorders>
            <w:shd w:val="clear" w:color="auto" w:fill="F2F2F2"/>
            <w:vAlign w:val="center"/>
          </w:tcPr>
          <w:p w14:paraId="13F2C0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医院级别</w:t>
            </w:r>
          </w:p>
        </w:tc>
        <w:tc>
          <w:tcPr>
            <w:tcW w:w="630" w:type="dxa"/>
            <w:vMerge w:val="restart"/>
            <w:tcBorders>
              <w:top w:val="single" w:color="80DED6" w:sz="8" w:space="0"/>
              <w:left w:val="nil"/>
              <w:bottom w:val="single" w:color="80DED6" w:sz="8" w:space="0"/>
              <w:right w:val="single" w:color="80DED6" w:sz="8" w:space="0"/>
            </w:tcBorders>
            <w:shd w:val="clear" w:color="auto" w:fill="FFFFFF"/>
            <w:vAlign w:val="center"/>
          </w:tcPr>
          <w:p w14:paraId="24DEC8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第一次住院起付线（元）</w:t>
            </w:r>
          </w:p>
        </w:tc>
        <w:tc>
          <w:tcPr>
            <w:tcW w:w="825" w:type="dxa"/>
            <w:vMerge w:val="restart"/>
            <w:tcBorders>
              <w:top w:val="single" w:color="80DED6" w:sz="8" w:space="0"/>
              <w:left w:val="nil"/>
              <w:bottom w:val="single" w:color="80DED6" w:sz="8" w:space="0"/>
              <w:right w:val="single" w:color="80DED6" w:sz="8" w:space="0"/>
            </w:tcBorders>
            <w:shd w:val="clear" w:color="auto" w:fill="F2F2F2"/>
            <w:vAlign w:val="center"/>
          </w:tcPr>
          <w:p w14:paraId="4E30E5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第二次及以上住院起付线（元）</w:t>
            </w:r>
          </w:p>
        </w:tc>
        <w:tc>
          <w:tcPr>
            <w:tcW w:w="2805" w:type="dxa"/>
            <w:gridSpan w:val="4"/>
            <w:tcBorders>
              <w:top w:val="single" w:color="80DED6" w:sz="8" w:space="0"/>
              <w:left w:val="nil"/>
              <w:bottom w:val="single" w:color="80DED6" w:sz="8" w:space="0"/>
              <w:right w:val="single" w:color="80DED6" w:sz="8" w:space="0"/>
            </w:tcBorders>
            <w:shd w:val="clear" w:color="auto" w:fill="FFFFFF"/>
            <w:vAlign w:val="center"/>
          </w:tcPr>
          <w:p w14:paraId="194127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基本医疗费用段统筹基金支付比例</w:t>
            </w:r>
          </w:p>
        </w:tc>
        <w:tc>
          <w:tcPr>
            <w:tcW w:w="1086" w:type="dxa"/>
            <w:gridSpan w:val="2"/>
            <w:tcBorders>
              <w:top w:val="single" w:color="80DED6" w:sz="8" w:space="0"/>
              <w:left w:val="nil"/>
              <w:bottom w:val="single" w:color="80DED6" w:sz="8" w:space="0"/>
              <w:right w:val="single" w:color="80DED6" w:sz="8" w:space="0"/>
            </w:tcBorders>
            <w:shd w:val="clear" w:color="auto" w:fill="F2F2F2"/>
            <w:vAlign w:val="center"/>
          </w:tcPr>
          <w:p w14:paraId="2F1591D4">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职工大额医疗费用补助保险费用段基金支付比例</w:t>
            </w:r>
          </w:p>
        </w:tc>
        <w:tc>
          <w:tcPr>
            <w:tcW w:w="744" w:type="dxa"/>
            <w:vMerge w:val="restart"/>
            <w:tcBorders>
              <w:top w:val="single" w:color="80DED6" w:sz="8" w:space="0"/>
              <w:left w:val="nil"/>
              <w:bottom w:val="single" w:color="80DED6" w:sz="8" w:space="0"/>
              <w:right w:val="single" w:color="80DED6" w:sz="8" w:space="0"/>
            </w:tcBorders>
            <w:shd w:val="clear" w:color="auto" w:fill="FFFFFF"/>
            <w:vAlign w:val="center"/>
          </w:tcPr>
          <w:p w14:paraId="5D2761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基金最高支付限额（万元）</w:t>
            </w:r>
          </w:p>
        </w:tc>
      </w:tr>
      <w:tr w14:paraId="7B180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388549E0">
            <w:pPr>
              <w:jc w:val="center"/>
              <w:rPr>
                <w:rFonts w:hint="eastAsia" w:ascii="仿宋" w:hAnsi="仿宋" w:eastAsia="仿宋" w:cs="仿宋"/>
                <w:b/>
                <w:bCs/>
                <w:i w:val="0"/>
                <w:iCs w:val="0"/>
                <w:color w:val="08090C"/>
                <w:sz w:val="22"/>
                <w:szCs w:val="22"/>
                <w:u w:val="none"/>
              </w:rPr>
            </w:pPr>
          </w:p>
        </w:tc>
        <w:tc>
          <w:tcPr>
            <w:tcW w:w="960" w:type="dxa"/>
            <w:vMerge w:val="continue"/>
            <w:tcBorders>
              <w:top w:val="single" w:color="80DED6" w:sz="8" w:space="0"/>
              <w:left w:val="nil"/>
              <w:bottom w:val="single" w:color="80DED6" w:sz="8" w:space="0"/>
              <w:right w:val="single" w:color="80DED6" w:sz="8" w:space="0"/>
            </w:tcBorders>
            <w:shd w:val="clear" w:color="auto" w:fill="F2F2F2"/>
            <w:vAlign w:val="center"/>
          </w:tcPr>
          <w:p w14:paraId="41B99BFD">
            <w:pPr>
              <w:jc w:val="center"/>
              <w:rPr>
                <w:rFonts w:hint="eastAsia" w:ascii="仿宋" w:hAnsi="仿宋" w:eastAsia="仿宋" w:cs="仿宋"/>
                <w:i w:val="0"/>
                <w:iCs w:val="0"/>
                <w:color w:val="000000"/>
                <w:sz w:val="22"/>
                <w:szCs w:val="22"/>
                <w:u w:val="none"/>
              </w:rPr>
            </w:pPr>
          </w:p>
        </w:tc>
        <w:tc>
          <w:tcPr>
            <w:tcW w:w="630" w:type="dxa"/>
            <w:vMerge w:val="continue"/>
            <w:tcBorders>
              <w:top w:val="single" w:color="80DED6" w:sz="8" w:space="0"/>
              <w:left w:val="nil"/>
              <w:bottom w:val="single" w:color="80DED6" w:sz="8" w:space="0"/>
              <w:right w:val="single" w:color="80DED6" w:sz="8" w:space="0"/>
            </w:tcBorders>
            <w:shd w:val="clear" w:color="auto" w:fill="FFFFFF"/>
            <w:vAlign w:val="center"/>
          </w:tcPr>
          <w:p w14:paraId="4CEF6D8C">
            <w:pPr>
              <w:jc w:val="center"/>
              <w:rPr>
                <w:rFonts w:hint="eastAsia" w:ascii="仿宋" w:hAnsi="仿宋" w:eastAsia="仿宋" w:cs="仿宋"/>
                <w:i w:val="0"/>
                <w:iCs w:val="0"/>
                <w:color w:val="000000"/>
                <w:sz w:val="22"/>
                <w:szCs w:val="22"/>
                <w:u w:val="none"/>
              </w:rPr>
            </w:pPr>
          </w:p>
        </w:tc>
        <w:tc>
          <w:tcPr>
            <w:tcW w:w="825" w:type="dxa"/>
            <w:vMerge w:val="continue"/>
            <w:tcBorders>
              <w:top w:val="single" w:color="80DED6" w:sz="8" w:space="0"/>
              <w:left w:val="nil"/>
              <w:bottom w:val="single" w:color="80DED6" w:sz="8" w:space="0"/>
              <w:right w:val="single" w:color="80DED6" w:sz="8" w:space="0"/>
            </w:tcBorders>
            <w:shd w:val="clear" w:color="auto" w:fill="F2F2F2"/>
            <w:vAlign w:val="center"/>
          </w:tcPr>
          <w:p w14:paraId="6CAF3E3F">
            <w:pPr>
              <w:jc w:val="center"/>
              <w:rPr>
                <w:rFonts w:hint="eastAsia" w:ascii="仿宋" w:hAnsi="仿宋" w:eastAsia="仿宋" w:cs="仿宋"/>
                <w:i w:val="0"/>
                <w:iCs w:val="0"/>
                <w:color w:val="000000"/>
                <w:sz w:val="22"/>
                <w:szCs w:val="22"/>
                <w:u w:val="none"/>
              </w:rPr>
            </w:pPr>
          </w:p>
        </w:tc>
        <w:tc>
          <w:tcPr>
            <w:tcW w:w="1290" w:type="dxa"/>
            <w:gridSpan w:val="2"/>
            <w:tcBorders>
              <w:top w:val="nil"/>
              <w:left w:val="nil"/>
              <w:bottom w:val="single" w:color="000000" w:sz="8" w:space="0"/>
              <w:right w:val="single" w:color="000000" w:sz="8" w:space="0"/>
            </w:tcBorders>
            <w:shd w:val="clear" w:color="auto" w:fill="FFFFFF"/>
            <w:vAlign w:val="center"/>
          </w:tcPr>
          <w:p w14:paraId="71842F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1万元及以下（含）</w:t>
            </w:r>
          </w:p>
        </w:tc>
        <w:tc>
          <w:tcPr>
            <w:tcW w:w="1515" w:type="dxa"/>
            <w:gridSpan w:val="2"/>
            <w:tcBorders>
              <w:top w:val="nil"/>
              <w:left w:val="nil"/>
              <w:bottom w:val="single" w:color="000000" w:sz="8" w:space="0"/>
              <w:right w:val="single" w:color="000000" w:sz="8" w:space="0"/>
            </w:tcBorders>
            <w:shd w:val="clear" w:color="auto" w:fill="F2F2F2"/>
            <w:vAlign w:val="center"/>
          </w:tcPr>
          <w:p w14:paraId="160C52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1万元以上（统筹基金封顶线8万元（含）</w:t>
            </w:r>
          </w:p>
        </w:tc>
        <w:tc>
          <w:tcPr>
            <w:tcW w:w="1086" w:type="dxa"/>
            <w:gridSpan w:val="2"/>
            <w:tcBorders>
              <w:top w:val="nil"/>
              <w:left w:val="nil"/>
              <w:bottom w:val="single" w:color="000000" w:sz="8" w:space="0"/>
              <w:right w:val="single" w:color="000000" w:sz="8" w:space="0"/>
            </w:tcBorders>
            <w:shd w:val="clear" w:color="auto" w:fill="FFFFFF"/>
            <w:vAlign w:val="center"/>
          </w:tcPr>
          <w:p w14:paraId="62C68972">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统筹基金封顶线以上（职工大额医疗费用补助封顶线32万元）</w:t>
            </w:r>
          </w:p>
        </w:tc>
        <w:tc>
          <w:tcPr>
            <w:tcW w:w="744" w:type="dxa"/>
            <w:vMerge w:val="continue"/>
            <w:tcBorders>
              <w:top w:val="single" w:color="80DED6" w:sz="8" w:space="0"/>
              <w:left w:val="nil"/>
              <w:bottom w:val="single" w:color="80DED6" w:sz="8" w:space="0"/>
              <w:right w:val="single" w:color="80DED6" w:sz="8" w:space="0"/>
            </w:tcBorders>
            <w:shd w:val="clear" w:color="auto" w:fill="FFFFFF"/>
            <w:vAlign w:val="center"/>
          </w:tcPr>
          <w:p w14:paraId="2BB2B3D1">
            <w:pPr>
              <w:jc w:val="center"/>
              <w:rPr>
                <w:rFonts w:hint="eastAsia" w:ascii="仿宋" w:hAnsi="仿宋" w:eastAsia="仿宋" w:cs="仿宋"/>
                <w:i w:val="0"/>
                <w:iCs w:val="0"/>
                <w:color w:val="000000"/>
                <w:sz w:val="22"/>
                <w:szCs w:val="22"/>
                <w:u w:val="none"/>
              </w:rPr>
            </w:pPr>
          </w:p>
        </w:tc>
      </w:tr>
      <w:tr w14:paraId="67738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143D1EB2">
            <w:pPr>
              <w:jc w:val="center"/>
              <w:rPr>
                <w:rFonts w:hint="eastAsia" w:ascii="仿宋" w:hAnsi="仿宋" w:eastAsia="仿宋" w:cs="仿宋"/>
                <w:b/>
                <w:bCs/>
                <w:i w:val="0"/>
                <w:iCs w:val="0"/>
                <w:color w:val="08090C"/>
                <w:sz w:val="22"/>
                <w:szCs w:val="22"/>
                <w:u w:val="none"/>
              </w:rPr>
            </w:pPr>
          </w:p>
        </w:tc>
        <w:tc>
          <w:tcPr>
            <w:tcW w:w="960" w:type="dxa"/>
            <w:vMerge w:val="continue"/>
            <w:tcBorders>
              <w:top w:val="single" w:color="80DED6" w:sz="8" w:space="0"/>
              <w:left w:val="nil"/>
              <w:bottom w:val="single" w:color="80DED6" w:sz="8" w:space="0"/>
              <w:right w:val="single" w:color="80DED6" w:sz="8" w:space="0"/>
            </w:tcBorders>
            <w:shd w:val="clear" w:color="auto" w:fill="F2F2F2"/>
            <w:vAlign w:val="center"/>
          </w:tcPr>
          <w:p w14:paraId="72402759">
            <w:pPr>
              <w:jc w:val="center"/>
              <w:rPr>
                <w:rFonts w:hint="eastAsia" w:ascii="仿宋" w:hAnsi="仿宋" w:eastAsia="仿宋" w:cs="仿宋"/>
                <w:i w:val="0"/>
                <w:iCs w:val="0"/>
                <w:color w:val="000000"/>
                <w:sz w:val="22"/>
                <w:szCs w:val="22"/>
                <w:u w:val="none"/>
              </w:rPr>
            </w:pPr>
          </w:p>
        </w:tc>
        <w:tc>
          <w:tcPr>
            <w:tcW w:w="630" w:type="dxa"/>
            <w:vMerge w:val="continue"/>
            <w:tcBorders>
              <w:top w:val="single" w:color="80DED6" w:sz="8" w:space="0"/>
              <w:left w:val="nil"/>
              <w:bottom w:val="single" w:color="80DED6" w:sz="8" w:space="0"/>
              <w:right w:val="single" w:color="80DED6" w:sz="8" w:space="0"/>
            </w:tcBorders>
            <w:shd w:val="clear" w:color="auto" w:fill="FFFFFF"/>
            <w:vAlign w:val="center"/>
          </w:tcPr>
          <w:p w14:paraId="0FB43288">
            <w:pPr>
              <w:jc w:val="center"/>
              <w:rPr>
                <w:rFonts w:hint="eastAsia" w:ascii="仿宋" w:hAnsi="仿宋" w:eastAsia="仿宋" w:cs="仿宋"/>
                <w:i w:val="0"/>
                <w:iCs w:val="0"/>
                <w:color w:val="000000"/>
                <w:sz w:val="22"/>
                <w:szCs w:val="22"/>
                <w:u w:val="none"/>
              </w:rPr>
            </w:pPr>
          </w:p>
        </w:tc>
        <w:tc>
          <w:tcPr>
            <w:tcW w:w="825" w:type="dxa"/>
            <w:vMerge w:val="continue"/>
            <w:tcBorders>
              <w:top w:val="single" w:color="80DED6" w:sz="8" w:space="0"/>
              <w:left w:val="nil"/>
              <w:bottom w:val="single" w:color="80DED6" w:sz="8" w:space="0"/>
              <w:right w:val="single" w:color="80DED6" w:sz="8" w:space="0"/>
            </w:tcBorders>
            <w:shd w:val="clear" w:color="auto" w:fill="F2F2F2"/>
            <w:vAlign w:val="center"/>
          </w:tcPr>
          <w:p w14:paraId="47A6ACF4">
            <w:pPr>
              <w:jc w:val="center"/>
              <w:rPr>
                <w:rFonts w:hint="eastAsia" w:ascii="仿宋" w:hAnsi="仿宋" w:eastAsia="仿宋" w:cs="仿宋"/>
                <w:i w:val="0"/>
                <w:iCs w:val="0"/>
                <w:color w:val="000000"/>
                <w:sz w:val="22"/>
                <w:szCs w:val="22"/>
                <w:u w:val="none"/>
              </w:rPr>
            </w:pPr>
          </w:p>
        </w:tc>
        <w:tc>
          <w:tcPr>
            <w:tcW w:w="695" w:type="dxa"/>
            <w:tcBorders>
              <w:top w:val="nil"/>
              <w:left w:val="nil"/>
              <w:bottom w:val="single" w:color="000000" w:sz="8" w:space="0"/>
              <w:right w:val="single" w:color="000000" w:sz="8" w:space="0"/>
            </w:tcBorders>
            <w:shd w:val="clear" w:color="auto" w:fill="FFFFFF"/>
            <w:vAlign w:val="center"/>
          </w:tcPr>
          <w:p w14:paraId="1DFA28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在职</w:t>
            </w:r>
          </w:p>
        </w:tc>
        <w:tc>
          <w:tcPr>
            <w:tcW w:w="595" w:type="dxa"/>
            <w:tcBorders>
              <w:top w:val="nil"/>
              <w:left w:val="nil"/>
              <w:bottom w:val="single" w:color="000000" w:sz="8" w:space="0"/>
              <w:right w:val="single" w:color="000000" w:sz="8" w:space="0"/>
            </w:tcBorders>
            <w:shd w:val="clear" w:color="auto" w:fill="F2F2F2"/>
            <w:vAlign w:val="center"/>
          </w:tcPr>
          <w:p w14:paraId="0D4D23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退休</w:t>
            </w:r>
          </w:p>
        </w:tc>
        <w:tc>
          <w:tcPr>
            <w:tcW w:w="677" w:type="dxa"/>
            <w:tcBorders>
              <w:top w:val="nil"/>
              <w:left w:val="nil"/>
              <w:bottom w:val="single" w:color="000000" w:sz="8" w:space="0"/>
              <w:right w:val="single" w:color="000000" w:sz="8" w:space="0"/>
            </w:tcBorders>
            <w:shd w:val="clear" w:color="auto" w:fill="FFFFFF"/>
            <w:vAlign w:val="center"/>
          </w:tcPr>
          <w:p w14:paraId="06FBED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在职</w:t>
            </w:r>
          </w:p>
        </w:tc>
        <w:tc>
          <w:tcPr>
            <w:tcW w:w="838" w:type="dxa"/>
            <w:tcBorders>
              <w:top w:val="nil"/>
              <w:left w:val="nil"/>
              <w:bottom w:val="single" w:color="000000" w:sz="8" w:space="0"/>
              <w:right w:val="single" w:color="000000" w:sz="8" w:space="0"/>
            </w:tcBorders>
            <w:shd w:val="clear" w:color="auto" w:fill="F2F2F2"/>
            <w:vAlign w:val="center"/>
          </w:tcPr>
          <w:p w14:paraId="2DBCBE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退休</w:t>
            </w:r>
          </w:p>
        </w:tc>
        <w:tc>
          <w:tcPr>
            <w:tcW w:w="532" w:type="dxa"/>
            <w:tcBorders>
              <w:top w:val="single" w:color="80DED6" w:sz="8" w:space="0"/>
              <w:left w:val="nil"/>
              <w:bottom w:val="single" w:color="80DED6" w:sz="8" w:space="0"/>
              <w:right w:val="single" w:color="80DED6" w:sz="8" w:space="0"/>
            </w:tcBorders>
            <w:shd w:val="clear" w:color="auto" w:fill="FFFFFF"/>
            <w:vAlign w:val="center"/>
          </w:tcPr>
          <w:p w14:paraId="088DAB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在职</w:t>
            </w:r>
          </w:p>
        </w:tc>
        <w:tc>
          <w:tcPr>
            <w:tcW w:w="554" w:type="dxa"/>
            <w:tcBorders>
              <w:top w:val="single" w:color="80DED6" w:sz="8" w:space="0"/>
              <w:left w:val="nil"/>
              <w:bottom w:val="single" w:color="80DED6" w:sz="8" w:space="0"/>
              <w:right w:val="single" w:color="80DED6" w:sz="8" w:space="0"/>
            </w:tcBorders>
            <w:shd w:val="clear" w:color="auto" w:fill="F2F2F2"/>
            <w:vAlign w:val="center"/>
          </w:tcPr>
          <w:p w14:paraId="386042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退休</w:t>
            </w:r>
          </w:p>
        </w:tc>
        <w:tc>
          <w:tcPr>
            <w:tcW w:w="744" w:type="dxa"/>
            <w:vMerge w:val="continue"/>
            <w:tcBorders>
              <w:top w:val="single" w:color="80DED6" w:sz="8" w:space="0"/>
              <w:left w:val="nil"/>
              <w:bottom w:val="single" w:color="80DED6" w:sz="8" w:space="0"/>
              <w:right w:val="single" w:color="80DED6" w:sz="8" w:space="0"/>
            </w:tcBorders>
            <w:shd w:val="clear" w:color="auto" w:fill="FFFFFF"/>
            <w:vAlign w:val="center"/>
          </w:tcPr>
          <w:p w14:paraId="4D55E4E9">
            <w:pPr>
              <w:jc w:val="center"/>
              <w:rPr>
                <w:rFonts w:hint="eastAsia" w:ascii="仿宋" w:hAnsi="仿宋" w:eastAsia="仿宋" w:cs="仿宋"/>
                <w:i w:val="0"/>
                <w:iCs w:val="0"/>
                <w:color w:val="000000"/>
                <w:sz w:val="22"/>
                <w:szCs w:val="22"/>
                <w:u w:val="none"/>
              </w:rPr>
            </w:pPr>
          </w:p>
        </w:tc>
      </w:tr>
      <w:tr w14:paraId="1AEF2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96" w:type="dxa"/>
            <w:vMerge w:val="restart"/>
            <w:tcBorders>
              <w:top w:val="nil"/>
              <w:left w:val="single" w:color="000000" w:sz="8" w:space="0"/>
              <w:bottom w:val="single" w:color="000000" w:sz="8" w:space="0"/>
              <w:right w:val="single" w:color="000000" w:sz="8" w:space="0"/>
            </w:tcBorders>
            <w:shd w:val="clear" w:color="auto" w:fill="FFFFFF"/>
            <w:vAlign w:val="center"/>
          </w:tcPr>
          <w:p w14:paraId="07F3B6ED">
            <w:pPr>
              <w:keepNext w:val="0"/>
              <w:keepLines w:val="0"/>
              <w:widowControl/>
              <w:suppressLineNumbers w:val="0"/>
              <w:jc w:val="left"/>
              <w:textAlignment w:val="center"/>
              <w:rPr>
                <w:rFonts w:hint="eastAsia" w:ascii="仿宋" w:hAnsi="仿宋" w:eastAsia="仿宋" w:cs="仿宋"/>
                <w:b/>
                <w:bCs/>
                <w:i w:val="0"/>
                <w:iCs w:val="0"/>
                <w:color w:val="08090C"/>
                <w:sz w:val="20"/>
                <w:szCs w:val="20"/>
                <w:u w:val="none"/>
              </w:rPr>
            </w:pPr>
            <w:r>
              <w:rPr>
                <w:rFonts w:hint="eastAsia" w:ascii="仿宋" w:hAnsi="仿宋" w:eastAsia="仿宋" w:cs="仿宋"/>
                <w:b/>
                <w:bCs/>
                <w:i w:val="0"/>
                <w:iCs w:val="0"/>
                <w:color w:val="08090C"/>
                <w:kern w:val="0"/>
                <w:sz w:val="20"/>
                <w:szCs w:val="20"/>
                <w:u w:val="none"/>
                <w:lang w:val="en-US" w:eastAsia="zh-CN" w:bidi="ar"/>
              </w:rPr>
              <w:t>本地就医人员</w:t>
            </w:r>
          </w:p>
        </w:tc>
        <w:tc>
          <w:tcPr>
            <w:tcW w:w="960" w:type="dxa"/>
            <w:tcBorders>
              <w:top w:val="nil"/>
              <w:left w:val="nil"/>
              <w:bottom w:val="single" w:color="000000" w:sz="8" w:space="0"/>
              <w:right w:val="single" w:color="000000" w:sz="8" w:space="0"/>
            </w:tcBorders>
            <w:shd w:val="clear" w:color="auto" w:fill="F2F2F2"/>
            <w:vAlign w:val="center"/>
          </w:tcPr>
          <w:p w14:paraId="301EC7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一级及以下</w:t>
            </w:r>
          </w:p>
        </w:tc>
        <w:tc>
          <w:tcPr>
            <w:tcW w:w="630" w:type="dxa"/>
            <w:tcBorders>
              <w:top w:val="nil"/>
              <w:left w:val="nil"/>
              <w:bottom w:val="single" w:color="000000" w:sz="8" w:space="0"/>
              <w:right w:val="single" w:color="000000" w:sz="8" w:space="0"/>
            </w:tcBorders>
            <w:shd w:val="clear" w:color="auto" w:fill="FFFFFF"/>
            <w:vAlign w:val="center"/>
          </w:tcPr>
          <w:p w14:paraId="303015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400</w:t>
            </w:r>
          </w:p>
        </w:tc>
        <w:tc>
          <w:tcPr>
            <w:tcW w:w="825" w:type="dxa"/>
            <w:tcBorders>
              <w:top w:val="nil"/>
              <w:left w:val="nil"/>
              <w:bottom w:val="single" w:color="000000" w:sz="8" w:space="0"/>
              <w:right w:val="single" w:color="000000" w:sz="8" w:space="0"/>
            </w:tcBorders>
            <w:shd w:val="clear" w:color="auto" w:fill="F2F2F2"/>
            <w:vAlign w:val="center"/>
          </w:tcPr>
          <w:p w14:paraId="0E8E13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300</w:t>
            </w:r>
          </w:p>
        </w:tc>
        <w:tc>
          <w:tcPr>
            <w:tcW w:w="695" w:type="dxa"/>
            <w:tcBorders>
              <w:top w:val="nil"/>
              <w:left w:val="nil"/>
              <w:bottom w:val="single" w:color="000000" w:sz="8" w:space="0"/>
              <w:right w:val="single" w:color="000000" w:sz="8" w:space="0"/>
            </w:tcBorders>
            <w:shd w:val="clear" w:color="auto" w:fill="FFFFFF"/>
            <w:vAlign w:val="center"/>
          </w:tcPr>
          <w:p w14:paraId="676A70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93%</w:t>
            </w:r>
          </w:p>
        </w:tc>
        <w:tc>
          <w:tcPr>
            <w:tcW w:w="595" w:type="dxa"/>
            <w:tcBorders>
              <w:top w:val="nil"/>
              <w:left w:val="nil"/>
              <w:bottom w:val="single" w:color="000000" w:sz="8" w:space="0"/>
              <w:right w:val="single" w:color="000000" w:sz="8" w:space="0"/>
            </w:tcBorders>
            <w:shd w:val="clear" w:color="auto" w:fill="F2F2F2"/>
            <w:vAlign w:val="center"/>
          </w:tcPr>
          <w:p w14:paraId="4DDAE4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c>
          <w:tcPr>
            <w:tcW w:w="677" w:type="dxa"/>
            <w:tcBorders>
              <w:top w:val="nil"/>
              <w:left w:val="nil"/>
              <w:bottom w:val="single" w:color="000000" w:sz="8" w:space="0"/>
              <w:right w:val="single" w:color="000000" w:sz="8" w:space="0"/>
            </w:tcBorders>
            <w:shd w:val="clear" w:color="auto" w:fill="FFFFFF"/>
            <w:vAlign w:val="center"/>
          </w:tcPr>
          <w:p w14:paraId="0AB143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98%</w:t>
            </w:r>
          </w:p>
        </w:tc>
        <w:tc>
          <w:tcPr>
            <w:tcW w:w="838" w:type="dxa"/>
            <w:tcBorders>
              <w:top w:val="nil"/>
              <w:left w:val="nil"/>
              <w:bottom w:val="single" w:color="000000" w:sz="8" w:space="0"/>
              <w:right w:val="single" w:color="000000" w:sz="8" w:space="0"/>
            </w:tcBorders>
            <w:shd w:val="clear" w:color="auto" w:fill="F2F2F2"/>
            <w:vAlign w:val="center"/>
          </w:tcPr>
          <w:p w14:paraId="704FF4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98.50%</w:t>
            </w:r>
          </w:p>
        </w:tc>
        <w:tc>
          <w:tcPr>
            <w:tcW w:w="1086" w:type="dxa"/>
            <w:gridSpan w:val="2"/>
            <w:vMerge w:val="restart"/>
            <w:tcBorders>
              <w:top w:val="nil"/>
              <w:left w:val="nil"/>
              <w:bottom w:val="single" w:color="000000" w:sz="8" w:space="0"/>
              <w:right w:val="single" w:color="000000" w:sz="8" w:space="0"/>
            </w:tcBorders>
            <w:shd w:val="clear" w:color="auto" w:fill="FFFFFF"/>
            <w:vAlign w:val="center"/>
          </w:tcPr>
          <w:p w14:paraId="7EFFE0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w:t>
            </w:r>
          </w:p>
        </w:tc>
        <w:tc>
          <w:tcPr>
            <w:tcW w:w="744" w:type="dxa"/>
            <w:vMerge w:val="restart"/>
            <w:tcBorders>
              <w:top w:val="nil"/>
              <w:left w:val="nil"/>
              <w:bottom w:val="single" w:color="000000" w:sz="8" w:space="0"/>
              <w:right w:val="single" w:color="000000" w:sz="8" w:space="0"/>
            </w:tcBorders>
            <w:shd w:val="clear" w:color="auto" w:fill="F2F2F2"/>
            <w:vAlign w:val="center"/>
          </w:tcPr>
          <w:p w14:paraId="2B802C8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r>
      <w:tr w14:paraId="3D745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45818767">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1E6689A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w:t>
            </w:r>
          </w:p>
        </w:tc>
        <w:tc>
          <w:tcPr>
            <w:tcW w:w="630" w:type="dxa"/>
            <w:tcBorders>
              <w:top w:val="nil"/>
              <w:left w:val="nil"/>
              <w:bottom w:val="single" w:color="000000" w:sz="8" w:space="0"/>
              <w:right w:val="single" w:color="000000" w:sz="8" w:space="0"/>
            </w:tcBorders>
            <w:shd w:val="clear" w:color="auto" w:fill="FFFFFF"/>
            <w:vAlign w:val="center"/>
          </w:tcPr>
          <w:p w14:paraId="4D67B6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800</w:t>
            </w:r>
          </w:p>
        </w:tc>
        <w:tc>
          <w:tcPr>
            <w:tcW w:w="825" w:type="dxa"/>
            <w:tcBorders>
              <w:top w:val="nil"/>
              <w:left w:val="nil"/>
              <w:bottom w:val="single" w:color="000000" w:sz="8" w:space="0"/>
              <w:right w:val="single" w:color="000000" w:sz="8" w:space="0"/>
            </w:tcBorders>
            <w:shd w:val="clear" w:color="auto" w:fill="F2F2F2"/>
            <w:vAlign w:val="center"/>
          </w:tcPr>
          <w:p w14:paraId="1A579D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700</w:t>
            </w:r>
          </w:p>
        </w:tc>
        <w:tc>
          <w:tcPr>
            <w:tcW w:w="695" w:type="dxa"/>
            <w:tcBorders>
              <w:top w:val="nil"/>
              <w:left w:val="nil"/>
              <w:bottom w:val="single" w:color="000000" w:sz="8" w:space="0"/>
              <w:right w:val="single" w:color="000000" w:sz="8" w:space="0"/>
            </w:tcBorders>
            <w:shd w:val="clear" w:color="auto" w:fill="FFFFFF"/>
            <w:vAlign w:val="center"/>
          </w:tcPr>
          <w:p w14:paraId="1E54F0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w:t>
            </w:r>
          </w:p>
        </w:tc>
        <w:tc>
          <w:tcPr>
            <w:tcW w:w="595" w:type="dxa"/>
            <w:tcBorders>
              <w:top w:val="nil"/>
              <w:left w:val="nil"/>
              <w:bottom w:val="single" w:color="000000" w:sz="8" w:space="0"/>
              <w:right w:val="single" w:color="000000" w:sz="8" w:space="0"/>
            </w:tcBorders>
            <w:shd w:val="clear" w:color="auto" w:fill="F2F2F2"/>
            <w:vAlign w:val="center"/>
          </w:tcPr>
          <w:p w14:paraId="551C3B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677" w:type="dxa"/>
            <w:tcBorders>
              <w:top w:val="nil"/>
              <w:left w:val="nil"/>
              <w:bottom w:val="single" w:color="000000" w:sz="8" w:space="0"/>
              <w:right w:val="single" w:color="000000" w:sz="8" w:space="0"/>
            </w:tcBorders>
            <w:shd w:val="clear" w:color="auto" w:fill="FFFFFF"/>
            <w:vAlign w:val="center"/>
          </w:tcPr>
          <w:p w14:paraId="7D62BA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94%</w:t>
            </w:r>
          </w:p>
        </w:tc>
        <w:tc>
          <w:tcPr>
            <w:tcW w:w="838" w:type="dxa"/>
            <w:tcBorders>
              <w:top w:val="nil"/>
              <w:left w:val="nil"/>
              <w:bottom w:val="single" w:color="000000" w:sz="8" w:space="0"/>
              <w:right w:val="single" w:color="000000" w:sz="8" w:space="0"/>
            </w:tcBorders>
            <w:shd w:val="clear" w:color="auto" w:fill="F2F2F2"/>
            <w:vAlign w:val="center"/>
          </w:tcPr>
          <w:p w14:paraId="7F5007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26428215">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0CB6D367">
            <w:pPr>
              <w:jc w:val="center"/>
              <w:rPr>
                <w:rFonts w:hint="default" w:ascii="Times New Roman" w:hAnsi="Times New Roman" w:eastAsia="宋体" w:cs="Times New Roman"/>
                <w:i w:val="0"/>
                <w:iCs w:val="0"/>
                <w:color w:val="000000"/>
                <w:sz w:val="21"/>
                <w:szCs w:val="21"/>
                <w:u w:val="none"/>
              </w:rPr>
            </w:pPr>
          </w:p>
        </w:tc>
      </w:tr>
      <w:tr w14:paraId="0B928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5C532D6C">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129D43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三级（市属）</w:t>
            </w:r>
          </w:p>
        </w:tc>
        <w:tc>
          <w:tcPr>
            <w:tcW w:w="630" w:type="dxa"/>
            <w:tcBorders>
              <w:top w:val="nil"/>
              <w:left w:val="nil"/>
              <w:bottom w:val="single" w:color="000000" w:sz="8" w:space="0"/>
              <w:right w:val="single" w:color="000000" w:sz="8" w:space="0"/>
            </w:tcBorders>
            <w:shd w:val="clear" w:color="auto" w:fill="FFFFFF"/>
            <w:vAlign w:val="center"/>
          </w:tcPr>
          <w:p w14:paraId="22B54B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1200</w:t>
            </w:r>
          </w:p>
        </w:tc>
        <w:tc>
          <w:tcPr>
            <w:tcW w:w="825" w:type="dxa"/>
            <w:tcBorders>
              <w:top w:val="nil"/>
              <w:left w:val="nil"/>
              <w:bottom w:val="single" w:color="000000" w:sz="8" w:space="0"/>
              <w:right w:val="single" w:color="000000" w:sz="8" w:space="0"/>
            </w:tcBorders>
            <w:shd w:val="clear" w:color="auto" w:fill="F2F2F2"/>
            <w:vAlign w:val="center"/>
          </w:tcPr>
          <w:p w14:paraId="7A58F1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1100</w:t>
            </w:r>
          </w:p>
        </w:tc>
        <w:tc>
          <w:tcPr>
            <w:tcW w:w="695" w:type="dxa"/>
            <w:tcBorders>
              <w:top w:val="nil"/>
              <w:left w:val="nil"/>
              <w:bottom w:val="single" w:color="000000" w:sz="8" w:space="0"/>
              <w:right w:val="single" w:color="000000" w:sz="8" w:space="0"/>
            </w:tcBorders>
            <w:shd w:val="clear" w:color="auto" w:fill="FFFFFF"/>
            <w:vAlign w:val="center"/>
          </w:tcPr>
          <w:p w14:paraId="3C3E41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w:t>
            </w:r>
          </w:p>
        </w:tc>
        <w:tc>
          <w:tcPr>
            <w:tcW w:w="595" w:type="dxa"/>
            <w:tcBorders>
              <w:top w:val="nil"/>
              <w:left w:val="nil"/>
              <w:bottom w:val="single" w:color="000000" w:sz="8" w:space="0"/>
              <w:right w:val="single" w:color="000000" w:sz="8" w:space="0"/>
            </w:tcBorders>
            <w:shd w:val="clear" w:color="auto" w:fill="F2F2F2"/>
            <w:vAlign w:val="center"/>
          </w:tcPr>
          <w:p w14:paraId="7AF1E1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w:t>
            </w:r>
          </w:p>
        </w:tc>
        <w:tc>
          <w:tcPr>
            <w:tcW w:w="677" w:type="dxa"/>
            <w:tcBorders>
              <w:top w:val="nil"/>
              <w:left w:val="nil"/>
              <w:bottom w:val="single" w:color="000000" w:sz="8" w:space="0"/>
              <w:right w:val="single" w:color="000000" w:sz="8" w:space="0"/>
            </w:tcBorders>
            <w:shd w:val="clear" w:color="auto" w:fill="FFFFFF"/>
            <w:vAlign w:val="center"/>
          </w:tcPr>
          <w:p w14:paraId="58A704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838" w:type="dxa"/>
            <w:tcBorders>
              <w:top w:val="nil"/>
              <w:left w:val="nil"/>
              <w:bottom w:val="single" w:color="000000" w:sz="8" w:space="0"/>
              <w:right w:val="single" w:color="000000" w:sz="8" w:space="0"/>
            </w:tcBorders>
            <w:shd w:val="clear" w:color="auto" w:fill="F2F2F2"/>
            <w:vAlign w:val="center"/>
          </w:tcPr>
          <w:p w14:paraId="761BD5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92%</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11E35263">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2F362E4B">
            <w:pPr>
              <w:jc w:val="center"/>
              <w:rPr>
                <w:rFonts w:hint="default" w:ascii="Times New Roman" w:hAnsi="Times New Roman" w:eastAsia="宋体" w:cs="Times New Roman"/>
                <w:i w:val="0"/>
                <w:iCs w:val="0"/>
                <w:color w:val="000000"/>
                <w:sz w:val="21"/>
                <w:szCs w:val="21"/>
                <w:u w:val="none"/>
              </w:rPr>
            </w:pPr>
          </w:p>
        </w:tc>
      </w:tr>
      <w:tr w14:paraId="05165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75107F3A">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59BF3F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三级（省属）</w:t>
            </w:r>
          </w:p>
        </w:tc>
        <w:tc>
          <w:tcPr>
            <w:tcW w:w="630" w:type="dxa"/>
            <w:tcBorders>
              <w:top w:val="nil"/>
              <w:left w:val="nil"/>
              <w:bottom w:val="single" w:color="000000" w:sz="8" w:space="0"/>
              <w:right w:val="single" w:color="000000" w:sz="8" w:space="0"/>
            </w:tcBorders>
            <w:shd w:val="clear" w:color="auto" w:fill="FFFFFF"/>
            <w:vAlign w:val="center"/>
          </w:tcPr>
          <w:p w14:paraId="5423EB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1600</w:t>
            </w:r>
          </w:p>
        </w:tc>
        <w:tc>
          <w:tcPr>
            <w:tcW w:w="825" w:type="dxa"/>
            <w:tcBorders>
              <w:top w:val="nil"/>
              <w:left w:val="nil"/>
              <w:bottom w:val="single" w:color="000000" w:sz="8" w:space="0"/>
              <w:right w:val="single" w:color="000000" w:sz="8" w:space="0"/>
            </w:tcBorders>
            <w:shd w:val="clear" w:color="auto" w:fill="F2F2F2"/>
            <w:vAlign w:val="center"/>
          </w:tcPr>
          <w:p w14:paraId="139C1F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1500</w:t>
            </w:r>
          </w:p>
        </w:tc>
        <w:tc>
          <w:tcPr>
            <w:tcW w:w="695" w:type="dxa"/>
            <w:tcBorders>
              <w:top w:val="nil"/>
              <w:left w:val="nil"/>
              <w:bottom w:val="single" w:color="000000" w:sz="8" w:space="0"/>
              <w:right w:val="single" w:color="000000" w:sz="8" w:space="0"/>
            </w:tcBorders>
            <w:shd w:val="clear" w:color="auto" w:fill="FFFFFF"/>
            <w:vAlign w:val="center"/>
          </w:tcPr>
          <w:p w14:paraId="07FE51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w:t>
            </w:r>
          </w:p>
        </w:tc>
        <w:tc>
          <w:tcPr>
            <w:tcW w:w="595" w:type="dxa"/>
            <w:tcBorders>
              <w:top w:val="nil"/>
              <w:left w:val="nil"/>
              <w:bottom w:val="single" w:color="000000" w:sz="8" w:space="0"/>
              <w:right w:val="single" w:color="000000" w:sz="8" w:space="0"/>
            </w:tcBorders>
            <w:shd w:val="clear" w:color="auto" w:fill="F2F2F2"/>
            <w:vAlign w:val="center"/>
          </w:tcPr>
          <w:p w14:paraId="6161C4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w:t>
            </w:r>
          </w:p>
        </w:tc>
        <w:tc>
          <w:tcPr>
            <w:tcW w:w="677" w:type="dxa"/>
            <w:tcBorders>
              <w:top w:val="nil"/>
              <w:left w:val="nil"/>
              <w:bottom w:val="single" w:color="000000" w:sz="8" w:space="0"/>
              <w:right w:val="single" w:color="000000" w:sz="8" w:space="0"/>
            </w:tcBorders>
            <w:shd w:val="clear" w:color="auto" w:fill="FFFFFF"/>
            <w:vAlign w:val="center"/>
          </w:tcPr>
          <w:p w14:paraId="19E893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838" w:type="dxa"/>
            <w:tcBorders>
              <w:top w:val="nil"/>
              <w:left w:val="nil"/>
              <w:bottom w:val="single" w:color="000000" w:sz="8" w:space="0"/>
              <w:right w:val="single" w:color="000000" w:sz="8" w:space="0"/>
            </w:tcBorders>
            <w:shd w:val="clear" w:color="auto" w:fill="F2F2F2"/>
            <w:vAlign w:val="center"/>
          </w:tcPr>
          <w:p w14:paraId="593476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92%</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3B7089D4">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376FBDF9">
            <w:pPr>
              <w:jc w:val="center"/>
              <w:rPr>
                <w:rFonts w:hint="default" w:ascii="Times New Roman" w:hAnsi="Times New Roman" w:eastAsia="宋体" w:cs="Times New Roman"/>
                <w:i w:val="0"/>
                <w:iCs w:val="0"/>
                <w:color w:val="000000"/>
                <w:sz w:val="21"/>
                <w:szCs w:val="21"/>
                <w:u w:val="none"/>
              </w:rPr>
            </w:pPr>
          </w:p>
        </w:tc>
      </w:tr>
      <w:tr w14:paraId="2028F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96" w:type="dxa"/>
            <w:vMerge w:val="restart"/>
            <w:tcBorders>
              <w:top w:val="nil"/>
              <w:left w:val="single" w:color="000000" w:sz="8" w:space="0"/>
              <w:bottom w:val="single" w:color="000000" w:sz="8" w:space="0"/>
              <w:right w:val="single" w:color="000000" w:sz="8" w:space="0"/>
            </w:tcBorders>
            <w:shd w:val="clear" w:color="auto" w:fill="FFFFFF"/>
            <w:vAlign w:val="center"/>
          </w:tcPr>
          <w:p w14:paraId="38A109B1">
            <w:pPr>
              <w:keepNext w:val="0"/>
              <w:keepLines w:val="0"/>
              <w:widowControl/>
              <w:suppressLineNumbers w:val="0"/>
              <w:jc w:val="left"/>
              <w:textAlignment w:val="center"/>
              <w:rPr>
                <w:rFonts w:hint="eastAsia" w:ascii="仿宋" w:hAnsi="仿宋" w:eastAsia="仿宋" w:cs="仿宋"/>
                <w:b/>
                <w:bCs/>
                <w:i w:val="0"/>
                <w:iCs w:val="0"/>
                <w:color w:val="08090C"/>
                <w:sz w:val="20"/>
                <w:szCs w:val="20"/>
                <w:u w:val="none"/>
              </w:rPr>
            </w:pPr>
            <w:r>
              <w:rPr>
                <w:rFonts w:hint="eastAsia" w:ascii="仿宋" w:hAnsi="仿宋" w:eastAsia="仿宋" w:cs="仿宋"/>
                <w:b/>
                <w:bCs/>
                <w:i w:val="0"/>
                <w:iCs w:val="0"/>
                <w:color w:val="08090C"/>
                <w:kern w:val="0"/>
                <w:sz w:val="20"/>
                <w:szCs w:val="20"/>
                <w:u w:val="none"/>
                <w:lang w:val="en-US" w:eastAsia="zh-CN" w:bidi="ar"/>
              </w:rPr>
              <w:t>异地长期居住人员</w:t>
            </w:r>
          </w:p>
        </w:tc>
        <w:tc>
          <w:tcPr>
            <w:tcW w:w="960" w:type="dxa"/>
            <w:tcBorders>
              <w:top w:val="nil"/>
              <w:left w:val="nil"/>
              <w:bottom w:val="single" w:color="000000" w:sz="8" w:space="0"/>
              <w:right w:val="single" w:color="000000" w:sz="8" w:space="0"/>
            </w:tcBorders>
            <w:shd w:val="clear" w:color="auto" w:fill="F2F2F2"/>
            <w:vAlign w:val="center"/>
          </w:tcPr>
          <w:p w14:paraId="576BEA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一级及以下</w:t>
            </w:r>
          </w:p>
        </w:tc>
        <w:tc>
          <w:tcPr>
            <w:tcW w:w="630" w:type="dxa"/>
            <w:tcBorders>
              <w:top w:val="nil"/>
              <w:left w:val="nil"/>
              <w:bottom w:val="single" w:color="000000" w:sz="8" w:space="0"/>
              <w:right w:val="single" w:color="000000" w:sz="8" w:space="0"/>
            </w:tcBorders>
            <w:shd w:val="clear" w:color="auto" w:fill="FFFFFF"/>
            <w:vAlign w:val="center"/>
          </w:tcPr>
          <w:p w14:paraId="3C1C26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400</w:t>
            </w:r>
          </w:p>
        </w:tc>
        <w:tc>
          <w:tcPr>
            <w:tcW w:w="825" w:type="dxa"/>
            <w:tcBorders>
              <w:top w:val="nil"/>
              <w:left w:val="nil"/>
              <w:bottom w:val="single" w:color="000000" w:sz="8" w:space="0"/>
              <w:right w:val="single" w:color="000000" w:sz="8" w:space="0"/>
            </w:tcBorders>
            <w:shd w:val="clear" w:color="auto" w:fill="F2F2F2"/>
            <w:vAlign w:val="center"/>
          </w:tcPr>
          <w:p w14:paraId="12739D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300</w:t>
            </w:r>
          </w:p>
        </w:tc>
        <w:tc>
          <w:tcPr>
            <w:tcW w:w="695" w:type="dxa"/>
            <w:tcBorders>
              <w:top w:val="nil"/>
              <w:left w:val="nil"/>
              <w:bottom w:val="single" w:color="000000" w:sz="8" w:space="0"/>
              <w:right w:val="single" w:color="000000" w:sz="8" w:space="0"/>
            </w:tcBorders>
            <w:shd w:val="clear" w:color="auto" w:fill="FFFFFF"/>
            <w:vAlign w:val="center"/>
          </w:tcPr>
          <w:p w14:paraId="484515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93%</w:t>
            </w:r>
          </w:p>
        </w:tc>
        <w:tc>
          <w:tcPr>
            <w:tcW w:w="595" w:type="dxa"/>
            <w:tcBorders>
              <w:top w:val="nil"/>
              <w:left w:val="nil"/>
              <w:bottom w:val="single" w:color="000000" w:sz="8" w:space="0"/>
              <w:right w:val="single" w:color="000000" w:sz="8" w:space="0"/>
            </w:tcBorders>
            <w:shd w:val="clear" w:color="auto" w:fill="F2F2F2"/>
            <w:vAlign w:val="center"/>
          </w:tcPr>
          <w:p w14:paraId="463D6A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c>
          <w:tcPr>
            <w:tcW w:w="677" w:type="dxa"/>
            <w:tcBorders>
              <w:top w:val="nil"/>
              <w:left w:val="nil"/>
              <w:bottom w:val="single" w:color="000000" w:sz="8" w:space="0"/>
              <w:right w:val="single" w:color="000000" w:sz="8" w:space="0"/>
            </w:tcBorders>
            <w:shd w:val="clear" w:color="auto" w:fill="FFFFFF"/>
            <w:vAlign w:val="center"/>
          </w:tcPr>
          <w:p w14:paraId="65316D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98%</w:t>
            </w:r>
          </w:p>
        </w:tc>
        <w:tc>
          <w:tcPr>
            <w:tcW w:w="838" w:type="dxa"/>
            <w:tcBorders>
              <w:top w:val="nil"/>
              <w:left w:val="nil"/>
              <w:bottom w:val="single" w:color="000000" w:sz="8" w:space="0"/>
              <w:right w:val="single" w:color="000000" w:sz="8" w:space="0"/>
            </w:tcBorders>
            <w:shd w:val="clear" w:color="auto" w:fill="F2F2F2"/>
            <w:vAlign w:val="center"/>
          </w:tcPr>
          <w:p w14:paraId="576CD3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98.50%</w:t>
            </w:r>
          </w:p>
        </w:tc>
        <w:tc>
          <w:tcPr>
            <w:tcW w:w="1086" w:type="dxa"/>
            <w:gridSpan w:val="2"/>
            <w:vMerge w:val="restart"/>
            <w:tcBorders>
              <w:top w:val="nil"/>
              <w:left w:val="nil"/>
              <w:bottom w:val="single" w:color="000000" w:sz="8" w:space="0"/>
              <w:right w:val="single" w:color="000000" w:sz="8" w:space="0"/>
            </w:tcBorders>
            <w:shd w:val="clear" w:color="auto" w:fill="FFFFFF"/>
            <w:vAlign w:val="center"/>
          </w:tcPr>
          <w:p w14:paraId="15DD01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w:t>
            </w:r>
          </w:p>
        </w:tc>
        <w:tc>
          <w:tcPr>
            <w:tcW w:w="744" w:type="dxa"/>
            <w:vMerge w:val="continue"/>
            <w:tcBorders>
              <w:top w:val="nil"/>
              <w:left w:val="nil"/>
              <w:bottom w:val="single" w:color="000000" w:sz="8" w:space="0"/>
              <w:right w:val="single" w:color="000000" w:sz="8" w:space="0"/>
            </w:tcBorders>
            <w:shd w:val="clear" w:color="auto" w:fill="F2F2F2"/>
            <w:vAlign w:val="center"/>
          </w:tcPr>
          <w:p w14:paraId="2CED4DC6">
            <w:pPr>
              <w:jc w:val="center"/>
              <w:rPr>
                <w:rFonts w:hint="default" w:ascii="Times New Roman" w:hAnsi="Times New Roman" w:eastAsia="宋体" w:cs="Times New Roman"/>
                <w:i w:val="0"/>
                <w:iCs w:val="0"/>
                <w:color w:val="000000"/>
                <w:sz w:val="21"/>
                <w:szCs w:val="21"/>
                <w:u w:val="none"/>
              </w:rPr>
            </w:pPr>
          </w:p>
        </w:tc>
      </w:tr>
      <w:tr w14:paraId="5D169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5E3BD4EF">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39BB76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w:t>
            </w:r>
          </w:p>
        </w:tc>
        <w:tc>
          <w:tcPr>
            <w:tcW w:w="630" w:type="dxa"/>
            <w:tcBorders>
              <w:top w:val="nil"/>
              <w:left w:val="nil"/>
              <w:bottom w:val="single" w:color="000000" w:sz="8" w:space="0"/>
              <w:right w:val="single" w:color="000000" w:sz="8" w:space="0"/>
            </w:tcBorders>
            <w:shd w:val="clear" w:color="auto" w:fill="FFFFFF"/>
            <w:vAlign w:val="center"/>
          </w:tcPr>
          <w:p w14:paraId="0F1915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800</w:t>
            </w:r>
          </w:p>
        </w:tc>
        <w:tc>
          <w:tcPr>
            <w:tcW w:w="825" w:type="dxa"/>
            <w:tcBorders>
              <w:top w:val="nil"/>
              <w:left w:val="nil"/>
              <w:bottom w:val="single" w:color="000000" w:sz="8" w:space="0"/>
              <w:right w:val="single" w:color="000000" w:sz="8" w:space="0"/>
            </w:tcBorders>
            <w:shd w:val="clear" w:color="auto" w:fill="F2F2F2"/>
            <w:vAlign w:val="center"/>
          </w:tcPr>
          <w:p w14:paraId="701003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700</w:t>
            </w:r>
          </w:p>
        </w:tc>
        <w:tc>
          <w:tcPr>
            <w:tcW w:w="695" w:type="dxa"/>
            <w:tcBorders>
              <w:top w:val="nil"/>
              <w:left w:val="nil"/>
              <w:bottom w:val="single" w:color="000000" w:sz="8" w:space="0"/>
              <w:right w:val="single" w:color="000000" w:sz="8" w:space="0"/>
            </w:tcBorders>
            <w:shd w:val="clear" w:color="auto" w:fill="FFFFFF"/>
            <w:vAlign w:val="center"/>
          </w:tcPr>
          <w:p w14:paraId="71C8FB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w:t>
            </w:r>
          </w:p>
        </w:tc>
        <w:tc>
          <w:tcPr>
            <w:tcW w:w="595" w:type="dxa"/>
            <w:tcBorders>
              <w:top w:val="nil"/>
              <w:left w:val="nil"/>
              <w:bottom w:val="single" w:color="000000" w:sz="8" w:space="0"/>
              <w:right w:val="single" w:color="000000" w:sz="8" w:space="0"/>
            </w:tcBorders>
            <w:shd w:val="clear" w:color="auto" w:fill="F2F2F2"/>
            <w:vAlign w:val="center"/>
          </w:tcPr>
          <w:p w14:paraId="1B6E90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677" w:type="dxa"/>
            <w:tcBorders>
              <w:top w:val="nil"/>
              <w:left w:val="nil"/>
              <w:bottom w:val="single" w:color="000000" w:sz="8" w:space="0"/>
              <w:right w:val="single" w:color="000000" w:sz="8" w:space="0"/>
            </w:tcBorders>
            <w:shd w:val="clear" w:color="auto" w:fill="FFFFFF"/>
            <w:vAlign w:val="center"/>
          </w:tcPr>
          <w:p w14:paraId="23AEC7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94%</w:t>
            </w:r>
          </w:p>
        </w:tc>
        <w:tc>
          <w:tcPr>
            <w:tcW w:w="838" w:type="dxa"/>
            <w:tcBorders>
              <w:top w:val="nil"/>
              <w:left w:val="nil"/>
              <w:bottom w:val="single" w:color="000000" w:sz="8" w:space="0"/>
              <w:right w:val="single" w:color="000000" w:sz="8" w:space="0"/>
            </w:tcBorders>
            <w:shd w:val="clear" w:color="auto" w:fill="F2F2F2"/>
            <w:vAlign w:val="center"/>
          </w:tcPr>
          <w:p w14:paraId="1F3B16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24088855">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221EA76D">
            <w:pPr>
              <w:jc w:val="center"/>
              <w:rPr>
                <w:rFonts w:hint="default" w:ascii="Times New Roman" w:hAnsi="Times New Roman" w:eastAsia="宋体" w:cs="Times New Roman"/>
                <w:i w:val="0"/>
                <w:iCs w:val="0"/>
                <w:color w:val="000000"/>
                <w:sz w:val="21"/>
                <w:szCs w:val="21"/>
                <w:u w:val="none"/>
              </w:rPr>
            </w:pPr>
          </w:p>
        </w:tc>
      </w:tr>
      <w:tr w14:paraId="629D8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0ECFDC15">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214F74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w:t>
            </w:r>
          </w:p>
        </w:tc>
        <w:tc>
          <w:tcPr>
            <w:tcW w:w="630" w:type="dxa"/>
            <w:tcBorders>
              <w:top w:val="nil"/>
              <w:left w:val="nil"/>
              <w:bottom w:val="single" w:color="000000" w:sz="8" w:space="0"/>
              <w:right w:val="single" w:color="000000" w:sz="8" w:space="0"/>
            </w:tcBorders>
            <w:shd w:val="clear" w:color="auto" w:fill="FFFFFF"/>
            <w:vAlign w:val="center"/>
          </w:tcPr>
          <w:p w14:paraId="0B949A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1600</w:t>
            </w:r>
          </w:p>
        </w:tc>
        <w:tc>
          <w:tcPr>
            <w:tcW w:w="825" w:type="dxa"/>
            <w:tcBorders>
              <w:top w:val="nil"/>
              <w:left w:val="nil"/>
              <w:bottom w:val="single" w:color="000000" w:sz="8" w:space="0"/>
              <w:right w:val="single" w:color="000000" w:sz="8" w:space="0"/>
            </w:tcBorders>
            <w:shd w:val="clear" w:color="auto" w:fill="F2F2F2"/>
            <w:vAlign w:val="center"/>
          </w:tcPr>
          <w:p w14:paraId="41D3B4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1500</w:t>
            </w:r>
          </w:p>
        </w:tc>
        <w:tc>
          <w:tcPr>
            <w:tcW w:w="695" w:type="dxa"/>
            <w:tcBorders>
              <w:top w:val="nil"/>
              <w:left w:val="nil"/>
              <w:bottom w:val="single" w:color="000000" w:sz="8" w:space="0"/>
              <w:right w:val="single" w:color="000000" w:sz="8" w:space="0"/>
            </w:tcBorders>
            <w:shd w:val="clear" w:color="auto" w:fill="FFFFFF"/>
            <w:vAlign w:val="center"/>
          </w:tcPr>
          <w:p w14:paraId="096886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w:t>
            </w:r>
          </w:p>
        </w:tc>
        <w:tc>
          <w:tcPr>
            <w:tcW w:w="595" w:type="dxa"/>
            <w:tcBorders>
              <w:top w:val="nil"/>
              <w:left w:val="nil"/>
              <w:bottom w:val="single" w:color="000000" w:sz="8" w:space="0"/>
              <w:right w:val="single" w:color="000000" w:sz="8" w:space="0"/>
            </w:tcBorders>
            <w:shd w:val="clear" w:color="auto" w:fill="F2F2F2"/>
            <w:vAlign w:val="center"/>
          </w:tcPr>
          <w:p w14:paraId="45A416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w:t>
            </w:r>
          </w:p>
        </w:tc>
        <w:tc>
          <w:tcPr>
            <w:tcW w:w="677" w:type="dxa"/>
            <w:tcBorders>
              <w:top w:val="nil"/>
              <w:left w:val="nil"/>
              <w:bottom w:val="single" w:color="000000" w:sz="8" w:space="0"/>
              <w:right w:val="single" w:color="000000" w:sz="8" w:space="0"/>
            </w:tcBorders>
            <w:shd w:val="clear" w:color="auto" w:fill="FFFFFF"/>
            <w:vAlign w:val="center"/>
          </w:tcPr>
          <w:p w14:paraId="6BBDE5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838" w:type="dxa"/>
            <w:tcBorders>
              <w:top w:val="nil"/>
              <w:left w:val="nil"/>
              <w:bottom w:val="single" w:color="000000" w:sz="8" w:space="0"/>
              <w:right w:val="single" w:color="000000" w:sz="8" w:space="0"/>
            </w:tcBorders>
            <w:shd w:val="clear" w:color="auto" w:fill="F2F2F2"/>
            <w:vAlign w:val="center"/>
          </w:tcPr>
          <w:p w14:paraId="01A419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92%</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1E6119FA">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1F212819">
            <w:pPr>
              <w:jc w:val="center"/>
              <w:rPr>
                <w:rFonts w:hint="default" w:ascii="Times New Roman" w:hAnsi="Times New Roman" w:eastAsia="宋体" w:cs="Times New Roman"/>
                <w:i w:val="0"/>
                <w:iCs w:val="0"/>
                <w:color w:val="000000"/>
                <w:sz w:val="21"/>
                <w:szCs w:val="21"/>
                <w:u w:val="none"/>
              </w:rPr>
            </w:pPr>
          </w:p>
        </w:tc>
      </w:tr>
      <w:tr w14:paraId="74DA4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96" w:type="dxa"/>
            <w:vMerge w:val="restart"/>
            <w:tcBorders>
              <w:top w:val="nil"/>
              <w:left w:val="single" w:color="000000" w:sz="8" w:space="0"/>
              <w:bottom w:val="single" w:color="000000" w:sz="8" w:space="0"/>
              <w:right w:val="single" w:color="000000" w:sz="8" w:space="0"/>
            </w:tcBorders>
            <w:shd w:val="clear" w:color="auto" w:fill="FFFFFF"/>
            <w:vAlign w:val="center"/>
          </w:tcPr>
          <w:p w14:paraId="272617BF">
            <w:pPr>
              <w:keepNext w:val="0"/>
              <w:keepLines w:val="0"/>
              <w:widowControl/>
              <w:suppressLineNumbers w:val="0"/>
              <w:jc w:val="left"/>
              <w:textAlignment w:val="center"/>
              <w:rPr>
                <w:rFonts w:hint="eastAsia" w:ascii="仿宋" w:hAnsi="仿宋" w:eastAsia="仿宋" w:cs="仿宋"/>
                <w:b/>
                <w:bCs/>
                <w:i w:val="0"/>
                <w:iCs w:val="0"/>
                <w:color w:val="08090C"/>
                <w:kern w:val="0"/>
                <w:sz w:val="20"/>
                <w:szCs w:val="20"/>
                <w:u w:val="none"/>
                <w:lang w:val="en-US" w:eastAsia="zh-CN" w:bidi="ar"/>
              </w:rPr>
            </w:pPr>
            <w:r>
              <w:rPr>
                <w:rFonts w:hint="eastAsia" w:ascii="仿宋" w:hAnsi="仿宋" w:eastAsia="仿宋" w:cs="仿宋"/>
                <w:b/>
                <w:bCs/>
                <w:i w:val="0"/>
                <w:iCs w:val="0"/>
                <w:color w:val="08090C"/>
                <w:kern w:val="0"/>
                <w:sz w:val="20"/>
                <w:szCs w:val="20"/>
                <w:u w:val="none"/>
                <w:lang w:val="en-US" w:eastAsia="zh-CN" w:bidi="ar"/>
              </w:rPr>
              <w:t>异地转诊就医人员</w:t>
            </w:r>
          </w:p>
          <w:p w14:paraId="7D99FF4D">
            <w:pPr>
              <w:keepNext w:val="0"/>
              <w:keepLines w:val="0"/>
              <w:widowControl/>
              <w:suppressLineNumbers w:val="0"/>
              <w:jc w:val="left"/>
              <w:textAlignment w:val="center"/>
              <w:rPr>
                <w:rFonts w:hint="eastAsia" w:ascii="仿宋" w:hAnsi="仿宋" w:eastAsia="仿宋" w:cs="仿宋"/>
                <w:b/>
                <w:bCs/>
                <w:i w:val="0"/>
                <w:iCs w:val="0"/>
                <w:color w:val="08090C"/>
                <w:sz w:val="20"/>
                <w:szCs w:val="20"/>
                <w:u w:val="none"/>
              </w:rPr>
            </w:pPr>
            <w:r>
              <w:rPr>
                <w:rFonts w:hint="eastAsia" w:ascii="仿宋" w:hAnsi="仿宋" w:eastAsia="仿宋" w:cs="仿宋"/>
                <w:b/>
                <w:bCs/>
                <w:i w:val="0"/>
                <w:iCs w:val="0"/>
                <w:color w:val="08090C"/>
                <w:kern w:val="0"/>
                <w:sz w:val="20"/>
                <w:szCs w:val="20"/>
                <w:u w:val="none"/>
                <w:lang w:val="en-US" w:eastAsia="zh-CN" w:bidi="ar"/>
              </w:rPr>
              <w:t>（省内）</w:t>
            </w:r>
          </w:p>
        </w:tc>
        <w:tc>
          <w:tcPr>
            <w:tcW w:w="960" w:type="dxa"/>
            <w:tcBorders>
              <w:top w:val="nil"/>
              <w:left w:val="nil"/>
              <w:bottom w:val="single" w:color="000000" w:sz="8" w:space="0"/>
              <w:right w:val="single" w:color="000000" w:sz="8" w:space="0"/>
            </w:tcBorders>
            <w:shd w:val="clear" w:color="auto" w:fill="F2F2F2"/>
            <w:vAlign w:val="center"/>
          </w:tcPr>
          <w:p w14:paraId="160B2B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一级及以下</w:t>
            </w:r>
          </w:p>
        </w:tc>
        <w:tc>
          <w:tcPr>
            <w:tcW w:w="630" w:type="dxa"/>
            <w:tcBorders>
              <w:top w:val="nil"/>
              <w:left w:val="nil"/>
              <w:bottom w:val="single" w:color="000000" w:sz="8" w:space="0"/>
              <w:right w:val="single" w:color="000000" w:sz="8" w:space="0"/>
            </w:tcBorders>
            <w:shd w:val="clear" w:color="auto" w:fill="FFFFFF"/>
            <w:vAlign w:val="center"/>
          </w:tcPr>
          <w:p w14:paraId="286829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400</w:t>
            </w:r>
          </w:p>
        </w:tc>
        <w:tc>
          <w:tcPr>
            <w:tcW w:w="825" w:type="dxa"/>
            <w:tcBorders>
              <w:top w:val="nil"/>
              <w:left w:val="nil"/>
              <w:bottom w:val="single" w:color="000000" w:sz="8" w:space="0"/>
              <w:right w:val="single" w:color="000000" w:sz="8" w:space="0"/>
            </w:tcBorders>
            <w:shd w:val="clear" w:color="auto" w:fill="F2F2F2"/>
            <w:vAlign w:val="center"/>
          </w:tcPr>
          <w:p w14:paraId="56AC4F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300</w:t>
            </w:r>
          </w:p>
        </w:tc>
        <w:tc>
          <w:tcPr>
            <w:tcW w:w="695" w:type="dxa"/>
            <w:tcBorders>
              <w:top w:val="nil"/>
              <w:left w:val="nil"/>
              <w:bottom w:val="single" w:color="000000" w:sz="8" w:space="0"/>
              <w:right w:val="single" w:color="000000" w:sz="8" w:space="0"/>
            </w:tcBorders>
            <w:shd w:val="clear" w:color="auto" w:fill="FFFFFF"/>
            <w:vAlign w:val="center"/>
          </w:tcPr>
          <w:p w14:paraId="26E90E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w:t>
            </w:r>
          </w:p>
        </w:tc>
        <w:tc>
          <w:tcPr>
            <w:tcW w:w="595" w:type="dxa"/>
            <w:tcBorders>
              <w:top w:val="nil"/>
              <w:left w:val="nil"/>
              <w:bottom w:val="single" w:color="000000" w:sz="8" w:space="0"/>
              <w:right w:val="single" w:color="000000" w:sz="8" w:space="0"/>
            </w:tcBorders>
            <w:shd w:val="clear" w:color="auto" w:fill="F2F2F2"/>
            <w:vAlign w:val="center"/>
          </w:tcPr>
          <w:p w14:paraId="427842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677" w:type="dxa"/>
            <w:tcBorders>
              <w:top w:val="nil"/>
              <w:left w:val="nil"/>
              <w:bottom w:val="single" w:color="000000" w:sz="8" w:space="0"/>
              <w:right w:val="single" w:color="000000" w:sz="8" w:space="0"/>
            </w:tcBorders>
            <w:shd w:val="clear" w:color="auto" w:fill="FFFFFF"/>
            <w:vAlign w:val="center"/>
          </w:tcPr>
          <w:p w14:paraId="7B62C9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93%</w:t>
            </w:r>
          </w:p>
        </w:tc>
        <w:tc>
          <w:tcPr>
            <w:tcW w:w="838" w:type="dxa"/>
            <w:tcBorders>
              <w:top w:val="nil"/>
              <w:left w:val="nil"/>
              <w:bottom w:val="single" w:color="000000" w:sz="8" w:space="0"/>
              <w:right w:val="single" w:color="000000" w:sz="8" w:space="0"/>
            </w:tcBorders>
            <w:shd w:val="clear" w:color="auto" w:fill="F2F2F2"/>
            <w:vAlign w:val="center"/>
          </w:tcPr>
          <w:p w14:paraId="1C9B37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93.50%</w:t>
            </w:r>
          </w:p>
        </w:tc>
        <w:tc>
          <w:tcPr>
            <w:tcW w:w="1086" w:type="dxa"/>
            <w:gridSpan w:val="2"/>
            <w:vMerge w:val="restart"/>
            <w:tcBorders>
              <w:top w:val="nil"/>
              <w:left w:val="nil"/>
              <w:bottom w:val="single" w:color="000000" w:sz="8" w:space="0"/>
              <w:right w:val="single" w:color="000000" w:sz="8" w:space="0"/>
            </w:tcBorders>
            <w:shd w:val="clear" w:color="auto" w:fill="FFFFFF"/>
            <w:vAlign w:val="center"/>
          </w:tcPr>
          <w:p w14:paraId="34E1EE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85%</w:t>
            </w:r>
          </w:p>
        </w:tc>
        <w:tc>
          <w:tcPr>
            <w:tcW w:w="744" w:type="dxa"/>
            <w:vMerge w:val="continue"/>
            <w:tcBorders>
              <w:top w:val="nil"/>
              <w:left w:val="nil"/>
              <w:bottom w:val="single" w:color="000000" w:sz="8" w:space="0"/>
              <w:right w:val="single" w:color="000000" w:sz="8" w:space="0"/>
            </w:tcBorders>
            <w:shd w:val="clear" w:color="auto" w:fill="F2F2F2"/>
            <w:vAlign w:val="center"/>
          </w:tcPr>
          <w:p w14:paraId="7FBBB9E7">
            <w:pPr>
              <w:jc w:val="center"/>
              <w:rPr>
                <w:rFonts w:hint="default" w:ascii="Times New Roman" w:hAnsi="Times New Roman" w:eastAsia="宋体" w:cs="Times New Roman"/>
                <w:i w:val="0"/>
                <w:iCs w:val="0"/>
                <w:color w:val="000000"/>
                <w:sz w:val="21"/>
                <w:szCs w:val="21"/>
                <w:u w:val="none"/>
              </w:rPr>
            </w:pPr>
          </w:p>
        </w:tc>
      </w:tr>
      <w:tr w14:paraId="37164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5003743E">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695E2D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w:t>
            </w:r>
          </w:p>
        </w:tc>
        <w:tc>
          <w:tcPr>
            <w:tcW w:w="630" w:type="dxa"/>
            <w:tcBorders>
              <w:top w:val="nil"/>
              <w:left w:val="nil"/>
              <w:bottom w:val="single" w:color="000000" w:sz="8" w:space="0"/>
              <w:right w:val="single" w:color="000000" w:sz="8" w:space="0"/>
            </w:tcBorders>
            <w:shd w:val="clear" w:color="auto" w:fill="FFFFFF"/>
            <w:vAlign w:val="center"/>
          </w:tcPr>
          <w:p w14:paraId="14BC98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800</w:t>
            </w:r>
          </w:p>
        </w:tc>
        <w:tc>
          <w:tcPr>
            <w:tcW w:w="825" w:type="dxa"/>
            <w:tcBorders>
              <w:top w:val="nil"/>
              <w:left w:val="nil"/>
              <w:bottom w:val="single" w:color="000000" w:sz="8" w:space="0"/>
              <w:right w:val="single" w:color="000000" w:sz="8" w:space="0"/>
            </w:tcBorders>
            <w:shd w:val="clear" w:color="auto" w:fill="F2F2F2"/>
            <w:vAlign w:val="center"/>
          </w:tcPr>
          <w:p w14:paraId="640D5B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700</w:t>
            </w:r>
          </w:p>
        </w:tc>
        <w:tc>
          <w:tcPr>
            <w:tcW w:w="695" w:type="dxa"/>
            <w:tcBorders>
              <w:top w:val="nil"/>
              <w:left w:val="nil"/>
              <w:bottom w:val="single" w:color="000000" w:sz="8" w:space="0"/>
              <w:right w:val="single" w:color="000000" w:sz="8" w:space="0"/>
            </w:tcBorders>
            <w:shd w:val="clear" w:color="auto" w:fill="FFFFFF"/>
            <w:vAlign w:val="center"/>
          </w:tcPr>
          <w:p w14:paraId="3BE138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83%</w:t>
            </w:r>
          </w:p>
        </w:tc>
        <w:tc>
          <w:tcPr>
            <w:tcW w:w="595" w:type="dxa"/>
            <w:tcBorders>
              <w:top w:val="nil"/>
              <w:left w:val="nil"/>
              <w:bottom w:val="single" w:color="000000" w:sz="8" w:space="0"/>
              <w:right w:val="single" w:color="000000" w:sz="8" w:space="0"/>
            </w:tcBorders>
            <w:shd w:val="clear" w:color="auto" w:fill="F2F2F2"/>
            <w:vAlign w:val="center"/>
          </w:tcPr>
          <w:p w14:paraId="56405F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w:t>
            </w:r>
          </w:p>
        </w:tc>
        <w:tc>
          <w:tcPr>
            <w:tcW w:w="677" w:type="dxa"/>
            <w:tcBorders>
              <w:top w:val="nil"/>
              <w:left w:val="nil"/>
              <w:bottom w:val="single" w:color="000000" w:sz="8" w:space="0"/>
              <w:right w:val="single" w:color="000000" w:sz="8" w:space="0"/>
            </w:tcBorders>
            <w:shd w:val="clear" w:color="auto" w:fill="FFFFFF"/>
            <w:vAlign w:val="center"/>
          </w:tcPr>
          <w:p w14:paraId="01B68E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89%</w:t>
            </w:r>
          </w:p>
        </w:tc>
        <w:tc>
          <w:tcPr>
            <w:tcW w:w="838" w:type="dxa"/>
            <w:tcBorders>
              <w:top w:val="nil"/>
              <w:left w:val="nil"/>
              <w:bottom w:val="single" w:color="000000" w:sz="8" w:space="0"/>
              <w:right w:val="single" w:color="000000" w:sz="8" w:space="0"/>
            </w:tcBorders>
            <w:shd w:val="clear" w:color="auto" w:fill="F2F2F2"/>
            <w:vAlign w:val="center"/>
          </w:tcPr>
          <w:p w14:paraId="47FE5A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1C5DDC03">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40BD3663">
            <w:pPr>
              <w:jc w:val="center"/>
              <w:rPr>
                <w:rFonts w:hint="default" w:ascii="Times New Roman" w:hAnsi="Times New Roman" w:eastAsia="宋体" w:cs="Times New Roman"/>
                <w:i w:val="0"/>
                <w:iCs w:val="0"/>
                <w:color w:val="000000"/>
                <w:sz w:val="21"/>
                <w:szCs w:val="21"/>
                <w:u w:val="none"/>
              </w:rPr>
            </w:pPr>
          </w:p>
        </w:tc>
      </w:tr>
      <w:tr w14:paraId="54EB1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0F4193EC">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10CDE4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w:t>
            </w:r>
          </w:p>
        </w:tc>
        <w:tc>
          <w:tcPr>
            <w:tcW w:w="630" w:type="dxa"/>
            <w:tcBorders>
              <w:top w:val="nil"/>
              <w:left w:val="nil"/>
              <w:bottom w:val="single" w:color="000000" w:sz="8" w:space="0"/>
              <w:right w:val="single" w:color="000000" w:sz="8" w:space="0"/>
            </w:tcBorders>
            <w:shd w:val="clear" w:color="auto" w:fill="FFFFFF"/>
            <w:vAlign w:val="center"/>
          </w:tcPr>
          <w:p w14:paraId="68E94E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1600</w:t>
            </w:r>
          </w:p>
        </w:tc>
        <w:tc>
          <w:tcPr>
            <w:tcW w:w="825" w:type="dxa"/>
            <w:tcBorders>
              <w:top w:val="nil"/>
              <w:left w:val="nil"/>
              <w:bottom w:val="single" w:color="000000" w:sz="8" w:space="0"/>
              <w:right w:val="single" w:color="000000" w:sz="8" w:space="0"/>
            </w:tcBorders>
            <w:shd w:val="clear" w:color="auto" w:fill="F2F2F2"/>
            <w:vAlign w:val="center"/>
          </w:tcPr>
          <w:p w14:paraId="22CC8C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1500</w:t>
            </w:r>
          </w:p>
        </w:tc>
        <w:tc>
          <w:tcPr>
            <w:tcW w:w="695" w:type="dxa"/>
            <w:tcBorders>
              <w:top w:val="nil"/>
              <w:left w:val="nil"/>
              <w:bottom w:val="single" w:color="000000" w:sz="8" w:space="0"/>
              <w:right w:val="single" w:color="000000" w:sz="8" w:space="0"/>
            </w:tcBorders>
            <w:shd w:val="clear" w:color="auto" w:fill="FFFFFF"/>
            <w:vAlign w:val="center"/>
          </w:tcPr>
          <w:p w14:paraId="70C3F2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w:t>
            </w:r>
          </w:p>
        </w:tc>
        <w:tc>
          <w:tcPr>
            <w:tcW w:w="595" w:type="dxa"/>
            <w:tcBorders>
              <w:top w:val="nil"/>
              <w:left w:val="nil"/>
              <w:bottom w:val="single" w:color="000000" w:sz="8" w:space="0"/>
              <w:right w:val="single" w:color="000000" w:sz="8" w:space="0"/>
            </w:tcBorders>
            <w:shd w:val="clear" w:color="auto" w:fill="F2F2F2"/>
            <w:vAlign w:val="center"/>
          </w:tcPr>
          <w:p w14:paraId="6CFEAC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83%</w:t>
            </w:r>
          </w:p>
        </w:tc>
        <w:tc>
          <w:tcPr>
            <w:tcW w:w="677" w:type="dxa"/>
            <w:tcBorders>
              <w:top w:val="nil"/>
              <w:left w:val="nil"/>
              <w:bottom w:val="single" w:color="000000" w:sz="8" w:space="0"/>
              <w:right w:val="single" w:color="000000" w:sz="8" w:space="0"/>
            </w:tcBorders>
            <w:shd w:val="clear" w:color="auto" w:fill="FFFFFF"/>
            <w:vAlign w:val="center"/>
          </w:tcPr>
          <w:p w14:paraId="19A9BD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w:t>
            </w:r>
          </w:p>
        </w:tc>
        <w:tc>
          <w:tcPr>
            <w:tcW w:w="838" w:type="dxa"/>
            <w:tcBorders>
              <w:top w:val="nil"/>
              <w:left w:val="nil"/>
              <w:bottom w:val="single" w:color="000000" w:sz="8" w:space="0"/>
              <w:right w:val="single" w:color="000000" w:sz="8" w:space="0"/>
            </w:tcBorders>
            <w:shd w:val="clear" w:color="auto" w:fill="F2F2F2"/>
            <w:vAlign w:val="center"/>
          </w:tcPr>
          <w:p w14:paraId="3BCC61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87%</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7EF99117">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6521DC1A">
            <w:pPr>
              <w:jc w:val="center"/>
              <w:rPr>
                <w:rFonts w:hint="default" w:ascii="Times New Roman" w:hAnsi="Times New Roman" w:eastAsia="宋体" w:cs="Times New Roman"/>
                <w:i w:val="0"/>
                <w:iCs w:val="0"/>
                <w:color w:val="000000"/>
                <w:sz w:val="21"/>
                <w:szCs w:val="21"/>
                <w:u w:val="none"/>
              </w:rPr>
            </w:pPr>
          </w:p>
        </w:tc>
      </w:tr>
      <w:tr w14:paraId="5E0E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996" w:type="dxa"/>
            <w:vMerge w:val="restart"/>
            <w:tcBorders>
              <w:top w:val="nil"/>
              <w:left w:val="single" w:color="000000" w:sz="8" w:space="0"/>
              <w:bottom w:val="single" w:color="000000" w:sz="8" w:space="0"/>
              <w:right w:val="single" w:color="000000" w:sz="8" w:space="0"/>
            </w:tcBorders>
            <w:shd w:val="clear" w:color="auto" w:fill="FFFFFF"/>
            <w:vAlign w:val="center"/>
          </w:tcPr>
          <w:p w14:paraId="0BEBA433">
            <w:pPr>
              <w:keepNext w:val="0"/>
              <w:keepLines w:val="0"/>
              <w:widowControl/>
              <w:suppressLineNumbers w:val="0"/>
              <w:jc w:val="left"/>
              <w:textAlignment w:val="center"/>
              <w:rPr>
                <w:rFonts w:hint="eastAsia" w:ascii="仿宋" w:hAnsi="仿宋" w:eastAsia="仿宋" w:cs="仿宋"/>
                <w:b/>
                <w:bCs/>
                <w:i w:val="0"/>
                <w:iCs w:val="0"/>
                <w:color w:val="08090C"/>
                <w:kern w:val="0"/>
                <w:sz w:val="20"/>
                <w:szCs w:val="20"/>
                <w:u w:val="none"/>
                <w:lang w:val="en-US" w:eastAsia="zh-CN" w:bidi="ar"/>
              </w:rPr>
            </w:pPr>
            <w:r>
              <w:rPr>
                <w:rFonts w:hint="eastAsia" w:ascii="仿宋" w:hAnsi="仿宋" w:eastAsia="仿宋" w:cs="仿宋"/>
                <w:b/>
                <w:bCs/>
                <w:i w:val="0"/>
                <w:iCs w:val="0"/>
                <w:color w:val="08090C"/>
                <w:kern w:val="0"/>
                <w:sz w:val="20"/>
                <w:szCs w:val="20"/>
                <w:u w:val="none"/>
                <w:lang w:val="en-US" w:eastAsia="zh-CN" w:bidi="ar"/>
              </w:rPr>
              <w:t>异地转诊就医人员</w:t>
            </w:r>
          </w:p>
          <w:p w14:paraId="448A1A7F">
            <w:pPr>
              <w:keepNext w:val="0"/>
              <w:keepLines w:val="0"/>
              <w:widowControl/>
              <w:suppressLineNumbers w:val="0"/>
              <w:jc w:val="both"/>
              <w:textAlignment w:val="center"/>
              <w:rPr>
                <w:rFonts w:hint="eastAsia" w:ascii="仿宋" w:hAnsi="仿宋" w:eastAsia="仿宋" w:cs="仿宋"/>
                <w:b/>
                <w:bCs/>
                <w:i w:val="0"/>
                <w:iCs w:val="0"/>
                <w:color w:val="08090C"/>
                <w:sz w:val="20"/>
                <w:szCs w:val="20"/>
                <w:u w:val="none"/>
              </w:rPr>
            </w:pPr>
            <w:r>
              <w:rPr>
                <w:rFonts w:hint="eastAsia" w:ascii="仿宋" w:hAnsi="仿宋" w:eastAsia="仿宋" w:cs="仿宋"/>
                <w:b/>
                <w:bCs/>
                <w:i w:val="0"/>
                <w:iCs w:val="0"/>
                <w:color w:val="08090C"/>
                <w:kern w:val="0"/>
                <w:sz w:val="20"/>
                <w:szCs w:val="20"/>
                <w:u w:val="none"/>
                <w:lang w:val="en-US" w:eastAsia="zh-CN" w:bidi="ar"/>
              </w:rPr>
              <w:t>（省外）</w:t>
            </w:r>
          </w:p>
        </w:tc>
        <w:tc>
          <w:tcPr>
            <w:tcW w:w="960" w:type="dxa"/>
            <w:tcBorders>
              <w:top w:val="nil"/>
              <w:left w:val="nil"/>
              <w:bottom w:val="single" w:color="000000" w:sz="8" w:space="0"/>
              <w:right w:val="single" w:color="000000" w:sz="8" w:space="0"/>
            </w:tcBorders>
            <w:shd w:val="clear" w:color="auto" w:fill="F2F2F2"/>
            <w:vAlign w:val="center"/>
          </w:tcPr>
          <w:p w14:paraId="0730C4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一级及以下</w:t>
            </w:r>
          </w:p>
        </w:tc>
        <w:tc>
          <w:tcPr>
            <w:tcW w:w="630" w:type="dxa"/>
            <w:tcBorders>
              <w:top w:val="nil"/>
              <w:left w:val="nil"/>
              <w:bottom w:val="single" w:color="000000" w:sz="8" w:space="0"/>
              <w:right w:val="single" w:color="000000" w:sz="8" w:space="0"/>
            </w:tcBorders>
            <w:shd w:val="clear" w:color="auto" w:fill="FFFFFF"/>
            <w:vAlign w:val="center"/>
          </w:tcPr>
          <w:p w14:paraId="6C9DCF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400</w:t>
            </w:r>
          </w:p>
        </w:tc>
        <w:tc>
          <w:tcPr>
            <w:tcW w:w="825" w:type="dxa"/>
            <w:tcBorders>
              <w:top w:val="nil"/>
              <w:left w:val="nil"/>
              <w:bottom w:val="single" w:color="000000" w:sz="8" w:space="0"/>
              <w:right w:val="single" w:color="000000" w:sz="8" w:space="0"/>
            </w:tcBorders>
            <w:shd w:val="clear" w:color="auto" w:fill="F2F2F2"/>
            <w:vAlign w:val="center"/>
          </w:tcPr>
          <w:p w14:paraId="7CAC71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300</w:t>
            </w:r>
          </w:p>
        </w:tc>
        <w:tc>
          <w:tcPr>
            <w:tcW w:w="695" w:type="dxa"/>
            <w:tcBorders>
              <w:top w:val="nil"/>
              <w:left w:val="nil"/>
              <w:bottom w:val="single" w:color="000000" w:sz="8" w:space="0"/>
              <w:right w:val="single" w:color="000000" w:sz="8" w:space="0"/>
            </w:tcBorders>
            <w:shd w:val="clear" w:color="auto" w:fill="FFFFFF"/>
            <w:vAlign w:val="center"/>
          </w:tcPr>
          <w:p w14:paraId="48D6BA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83%</w:t>
            </w:r>
          </w:p>
        </w:tc>
        <w:tc>
          <w:tcPr>
            <w:tcW w:w="595" w:type="dxa"/>
            <w:tcBorders>
              <w:top w:val="nil"/>
              <w:left w:val="nil"/>
              <w:bottom w:val="single" w:color="000000" w:sz="8" w:space="0"/>
              <w:right w:val="single" w:color="000000" w:sz="8" w:space="0"/>
            </w:tcBorders>
            <w:shd w:val="clear" w:color="auto" w:fill="F2F2F2"/>
            <w:vAlign w:val="center"/>
          </w:tcPr>
          <w:p w14:paraId="5F9E6A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w:t>
            </w:r>
          </w:p>
        </w:tc>
        <w:tc>
          <w:tcPr>
            <w:tcW w:w="677" w:type="dxa"/>
            <w:tcBorders>
              <w:top w:val="nil"/>
              <w:left w:val="nil"/>
              <w:bottom w:val="single" w:color="000000" w:sz="8" w:space="0"/>
              <w:right w:val="single" w:color="000000" w:sz="8" w:space="0"/>
            </w:tcBorders>
            <w:shd w:val="clear" w:color="auto" w:fill="FFFFFF"/>
            <w:vAlign w:val="center"/>
          </w:tcPr>
          <w:p w14:paraId="33C494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w:t>
            </w:r>
          </w:p>
        </w:tc>
        <w:tc>
          <w:tcPr>
            <w:tcW w:w="838" w:type="dxa"/>
            <w:tcBorders>
              <w:top w:val="nil"/>
              <w:left w:val="nil"/>
              <w:bottom w:val="single" w:color="000000" w:sz="8" w:space="0"/>
              <w:right w:val="single" w:color="000000" w:sz="8" w:space="0"/>
            </w:tcBorders>
            <w:shd w:val="clear" w:color="auto" w:fill="F2F2F2"/>
            <w:vAlign w:val="center"/>
          </w:tcPr>
          <w:p w14:paraId="2872D5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88.50%</w:t>
            </w:r>
          </w:p>
        </w:tc>
        <w:tc>
          <w:tcPr>
            <w:tcW w:w="1086" w:type="dxa"/>
            <w:gridSpan w:val="2"/>
            <w:vMerge w:val="restart"/>
            <w:tcBorders>
              <w:top w:val="nil"/>
              <w:left w:val="nil"/>
              <w:bottom w:val="single" w:color="000000" w:sz="8" w:space="0"/>
              <w:right w:val="single" w:color="000000" w:sz="8" w:space="0"/>
            </w:tcBorders>
            <w:shd w:val="clear" w:color="auto" w:fill="FFFFFF"/>
            <w:vAlign w:val="center"/>
          </w:tcPr>
          <w:p w14:paraId="372304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80% </w:t>
            </w:r>
          </w:p>
        </w:tc>
        <w:tc>
          <w:tcPr>
            <w:tcW w:w="744" w:type="dxa"/>
            <w:vMerge w:val="continue"/>
            <w:tcBorders>
              <w:top w:val="nil"/>
              <w:left w:val="nil"/>
              <w:bottom w:val="single" w:color="000000" w:sz="8" w:space="0"/>
              <w:right w:val="single" w:color="000000" w:sz="8" w:space="0"/>
            </w:tcBorders>
            <w:shd w:val="clear" w:color="auto" w:fill="F2F2F2"/>
            <w:vAlign w:val="center"/>
          </w:tcPr>
          <w:p w14:paraId="6861FB83">
            <w:pPr>
              <w:jc w:val="center"/>
              <w:rPr>
                <w:rFonts w:hint="default" w:ascii="Times New Roman" w:hAnsi="Times New Roman" w:eastAsia="宋体" w:cs="Times New Roman"/>
                <w:i w:val="0"/>
                <w:iCs w:val="0"/>
                <w:color w:val="000000"/>
                <w:sz w:val="21"/>
                <w:szCs w:val="21"/>
                <w:u w:val="none"/>
              </w:rPr>
            </w:pPr>
          </w:p>
        </w:tc>
      </w:tr>
      <w:tr w14:paraId="7F134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22CDB82C">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354792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w:t>
            </w:r>
          </w:p>
        </w:tc>
        <w:tc>
          <w:tcPr>
            <w:tcW w:w="630" w:type="dxa"/>
            <w:tcBorders>
              <w:top w:val="nil"/>
              <w:left w:val="nil"/>
              <w:bottom w:val="single" w:color="000000" w:sz="8" w:space="0"/>
              <w:right w:val="single" w:color="000000" w:sz="8" w:space="0"/>
            </w:tcBorders>
            <w:shd w:val="clear" w:color="auto" w:fill="FFFFFF"/>
            <w:vAlign w:val="center"/>
          </w:tcPr>
          <w:p w14:paraId="54C76F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800</w:t>
            </w:r>
          </w:p>
        </w:tc>
        <w:tc>
          <w:tcPr>
            <w:tcW w:w="825" w:type="dxa"/>
            <w:tcBorders>
              <w:top w:val="nil"/>
              <w:left w:val="nil"/>
              <w:bottom w:val="single" w:color="000000" w:sz="8" w:space="0"/>
              <w:right w:val="single" w:color="000000" w:sz="8" w:space="0"/>
            </w:tcBorders>
            <w:shd w:val="clear" w:color="auto" w:fill="F2F2F2"/>
            <w:vAlign w:val="center"/>
          </w:tcPr>
          <w:p w14:paraId="534995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700</w:t>
            </w:r>
          </w:p>
        </w:tc>
        <w:tc>
          <w:tcPr>
            <w:tcW w:w="695" w:type="dxa"/>
            <w:tcBorders>
              <w:top w:val="nil"/>
              <w:left w:val="nil"/>
              <w:bottom w:val="single" w:color="000000" w:sz="8" w:space="0"/>
              <w:right w:val="single" w:color="000000" w:sz="8" w:space="0"/>
            </w:tcBorders>
            <w:shd w:val="clear" w:color="auto" w:fill="FFFFFF"/>
            <w:vAlign w:val="center"/>
          </w:tcPr>
          <w:p w14:paraId="6430CD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78%</w:t>
            </w:r>
          </w:p>
        </w:tc>
        <w:tc>
          <w:tcPr>
            <w:tcW w:w="595" w:type="dxa"/>
            <w:tcBorders>
              <w:top w:val="nil"/>
              <w:left w:val="nil"/>
              <w:bottom w:val="single" w:color="000000" w:sz="8" w:space="0"/>
              <w:right w:val="single" w:color="000000" w:sz="8" w:space="0"/>
            </w:tcBorders>
            <w:shd w:val="clear" w:color="auto" w:fill="F2F2F2"/>
            <w:vAlign w:val="center"/>
          </w:tcPr>
          <w:p w14:paraId="36C6B8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w:t>
            </w:r>
          </w:p>
        </w:tc>
        <w:tc>
          <w:tcPr>
            <w:tcW w:w="677" w:type="dxa"/>
            <w:tcBorders>
              <w:top w:val="nil"/>
              <w:left w:val="nil"/>
              <w:bottom w:val="single" w:color="000000" w:sz="8" w:space="0"/>
              <w:right w:val="single" w:color="000000" w:sz="8" w:space="0"/>
            </w:tcBorders>
            <w:shd w:val="clear" w:color="auto" w:fill="FFFFFF"/>
            <w:vAlign w:val="center"/>
          </w:tcPr>
          <w:p w14:paraId="2C31B8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84%</w:t>
            </w:r>
          </w:p>
        </w:tc>
        <w:tc>
          <w:tcPr>
            <w:tcW w:w="838" w:type="dxa"/>
            <w:tcBorders>
              <w:top w:val="nil"/>
              <w:left w:val="nil"/>
              <w:bottom w:val="single" w:color="000000" w:sz="8" w:space="0"/>
              <w:right w:val="single" w:color="000000" w:sz="8" w:space="0"/>
            </w:tcBorders>
            <w:shd w:val="clear" w:color="auto" w:fill="F2F2F2"/>
            <w:vAlign w:val="center"/>
          </w:tcPr>
          <w:p w14:paraId="6F4B15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0332A569">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55EA95CB">
            <w:pPr>
              <w:jc w:val="center"/>
              <w:rPr>
                <w:rFonts w:hint="default" w:ascii="Times New Roman" w:hAnsi="Times New Roman" w:eastAsia="宋体" w:cs="Times New Roman"/>
                <w:i w:val="0"/>
                <w:iCs w:val="0"/>
                <w:color w:val="000000"/>
                <w:sz w:val="21"/>
                <w:szCs w:val="21"/>
                <w:u w:val="none"/>
              </w:rPr>
            </w:pPr>
          </w:p>
        </w:tc>
      </w:tr>
      <w:tr w14:paraId="59142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3DD072EB">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4FCAE7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w:t>
            </w:r>
          </w:p>
        </w:tc>
        <w:tc>
          <w:tcPr>
            <w:tcW w:w="630" w:type="dxa"/>
            <w:tcBorders>
              <w:top w:val="nil"/>
              <w:left w:val="nil"/>
              <w:bottom w:val="single" w:color="000000" w:sz="8" w:space="0"/>
              <w:right w:val="single" w:color="000000" w:sz="8" w:space="0"/>
            </w:tcBorders>
            <w:shd w:val="clear" w:color="auto" w:fill="FFFFFF"/>
            <w:vAlign w:val="center"/>
          </w:tcPr>
          <w:p w14:paraId="0D099D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1600</w:t>
            </w:r>
          </w:p>
        </w:tc>
        <w:tc>
          <w:tcPr>
            <w:tcW w:w="825" w:type="dxa"/>
            <w:tcBorders>
              <w:top w:val="nil"/>
              <w:left w:val="nil"/>
              <w:bottom w:val="single" w:color="000000" w:sz="8" w:space="0"/>
              <w:right w:val="single" w:color="000000" w:sz="8" w:space="0"/>
            </w:tcBorders>
            <w:shd w:val="clear" w:color="auto" w:fill="F2F2F2"/>
            <w:vAlign w:val="center"/>
          </w:tcPr>
          <w:p w14:paraId="2A6CFD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1500</w:t>
            </w:r>
          </w:p>
        </w:tc>
        <w:tc>
          <w:tcPr>
            <w:tcW w:w="695" w:type="dxa"/>
            <w:tcBorders>
              <w:top w:val="nil"/>
              <w:left w:val="nil"/>
              <w:bottom w:val="single" w:color="000000" w:sz="8" w:space="0"/>
              <w:right w:val="single" w:color="000000" w:sz="8" w:space="0"/>
            </w:tcBorders>
            <w:shd w:val="clear" w:color="auto" w:fill="FFFFFF"/>
            <w:vAlign w:val="center"/>
          </w:tcPr>
          <w:p w14:paraId="3CB1B9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75%</w:t>
            </w:r>
          </w:p>
        </w:tc>
        <w:tc>
          <w:tcPr>
            <w:tcW w:w="595" w:type="dxa"/>
            <w:tcBorders>
              <w:top w:val="nil"/>
              <w:left w:val="nil"/>
              <w:bottom w:val="single" w:color="000000" w:sz="8" w:space="0"/>
              <w:right w:val="single" w:color="000000" w:sz="8" w:space="0"/>
            </w:tcBorders>
            <w:shd w:val="clear" w:color="auto" w:fill="F2F2F2"/>
            <w:vAlign w:val="center"/>
          </w:tcPr>
          <w:p w14:paraId="223B2E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78%</w:t>
            </w:r>
          </w:p>
        </w:tc>
        <w:tc>
          <w:tcPr>
            <w:tcW w:w="677" w:type="dxa"/>
            <w:tcBorders>
              <w:top w:val="nil"/>
              <w:left w:val="nil"/>
              <w:bottom w:val="single" w:color="000000" w:sz="8" w:space="0"/>
              <w:right w:val="single" w:color="000000" w:sz="8" w:space="0"/>
            </w:tcBorders>
            <w:shd w:val="clear" w:color="auto" w:fill="FFFFFF"/>
            <w:vAlign w:val="center"/>
          </w:tcPr>
          <w:p w14:paraId="3A3882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w:t>
            </w:r>
          </w:p>
        </w:tc>
        <w:tc>
          <w:tcPr>
            <w:tcW w:w="838" w:type="dxa"/>
            <w:tcBorders>
              <w:top w:val="nil"/>
              <w:left w:val="nil"/>
              <w:bottom w:val="single" w:color="000000" w:sz="8" w:space="0"/>
              <w:right w:val="single" w:color="000000" w:sz="8" w:space="0"/>
            </w:tcBorders>
            <w:shd w:val="clear" w:color="auto" w:fill="F2F2F2"/>
            <w:vAlign w:val="center"/>
          </w:tcPr>
          <w:p w14:paraId="54C717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82%</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40E353A6">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25649A16">
            <w:pPr>
              <w:jc w:val="center"/>
              <w:rPr>
                <w:rFonts w:hint="default" w:ascii="Times New Roman" w:hAnsi="Times New Roman" w:eastAsia="宋体" w:cs="Times New Roman"/>
                <w:i w:val="0"/>
                <w:iCs w:val="0"/>
                <w:color w:val="000000"/>
                <w:sz w:val="21"/>
                <w:szCs w:val="21"/>
                <w:u w:val="none"/>
              </w:rPr>
            </w:pPr>
          </w:p>
        </w:tc>
      </w:tr>
      <w:tr w14:paraId="27729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996" w:type="dxa"/>
            <w:vMerge w:val="restart"/>
            <w:tcBorders>
              <w:top w:val="nil"/>
              <w:left w:val="single" w:color="000000" w:sz="8" w:space="0"/>
              <w:bottom w:val="single" w:color="000000" w:sz="8" w:space="0"/>
              <w:right w:val="single" w:color="000000" w:sz="8" w:space="0"/>
            </w:tcBorders>
            <w:shd w:val="clear" w:color="auto" w:fill="FFFFFF"/>
            <w:vAlign w:val="center"/>
          </w:tcPr>
          <w:p w14:paraId="03FB6F35">
            <w:pPr>
              <w:keepNext w:val="0"/>
              <w:keepLines w:val="0"/>
              <w:widowControl/>
              <w:suppressLineNumbers w:val="0"/>
              <w:jc w:val="left"/>
              <w:textAlignment w:val="center"/>
              <w:rPr>
                <w:rFonts w:hint="eastAsia" w:ascii="仿宋" w:hAnsi="仿宋" w:eastAsia="仿宋" w:cs="仿宋"/>
                <w:b/>
                <w:bCs/>
                <w:i w:val="0"/>
                <w:iCs w:val="0"/>
                <w:color w:val="08090C"/>
                <w:kern w:val="0"/>
                <w:sz w:val="20"/>
                <w:szCs w:val="20"/>
                <w:u w:val="none"/>
                <w:lang w:val="en-US" w:eastAsia="zh-CN" w:bidi="ar"/>
              </w:rPr>
            </w:pPr>
            <w:r>
              <w:rPr>
                <w:rFonts w:hint="eastAsia" w:ascii="仿宋" w:hAnsi="仿宋" w:eastAsia="仿宋" w:cs="仿宋"/>
                <w:b/>
                <w:bCs/>
                <w:i w:val="0"/>
                <w:iCs w:val="0"/>
                <w:color w:val="08090C"/>
                <w:kern w:val="0"/>
                <w:sz w:val="20"/>
                <w:szCs w:val="20"/>
                <w:u w:val="none"/>
                <w:lang w:val="en-US" w:eastAsia="zh-CN" w:bidi="ar"/>
              </w:rPr>
              <w:t>其他临时外出就医</w:t>
            </w:r>
          </w:p>
          <w:p w14:paraId="6FD5B8FC">
            <w:pPr>
              <w:keepNext w:val="0"/>
              <w:keepLines w:val="0"/>
              <w:widowControl/>
              <w:suppressLineNumbers w:val="0"/>
              <w:jc w:val="left"/>
              <w:textAlignment w:val="center"/>
              <w:rPr>
                <w:rFonts w:hint="eastAsia" w:ascii="仿宋" w:hAnsi="仿宋" w:eastAsia="仿宋" w:cs="仿宋"/>
                <w:b/>
                <w:bCs/>
                <w:i w:val="0"/>
                <w:iCs w:val="0"/>
                <w:color w:val="08090C"/>
                <w:sz w:val="20"/>
                <w:szCs w:val="20"/>
                <w:u w:val="none"/>
              </w:rPr>
            </w:pPr>
            <w:r>
              <w:rPr>
                <w:rFonts w:hint="eastAsia" w:ascii="仿宋" w:hAnsi="仿宋" w:eastAsia="仿宋" w:cs="仿宋"/>
                <w:b/>
                <w:bCs/>
                <w:i w:val="0"/>
                <w:iCs w:val="0"/>
                <w:color w:val="08090C"/>
                <w:kern w:val="0"/>
                <w:sz w:val="20"/>
                <w:szCs w:val="20"/>
                <w:u w:val="none"/>
                <w:lang w:val="en-US" w:eastAsia="zh-CN" w:bidi="ar"/>
              </w:rPr>
              <w:t>（省内）</w:t>
            </w:r>
          </w:p>
        </w:tc>
        <w:tc>
          <w:tcPr>
            <w:tcW w:w="960" w:type="dxa"/>
            <w:tcBorders>
              <w:top w:val="nil"/>
              <w:left w:val="nil"/>
              <w:bottom w:val="single" w:color="000000" w:sz="8" w:space="0"/>
              <w:right w:val="single" w:color="000000" w:sz="8" w:space="0"/>
            </w:tcBorders>
            <w:shd w:val="clear" w:color="auto" w:fill="F2F2F2"/>
            <w:vAlign w:val="center"/>
          </w:tcPr>
          <w:p w14:paraId="07143B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一级及以下</w:t>
            </w:r>
          </w:p>
        </w:tc>
        <w:tc>
          <w:tcPr>
            <w:tcW w:w="630" w:type="dxa"/>
            <w:tcBorders>
              <w:top w:val="nil"/>
              <w:left w:val="nil"/>
              <w:bottom w:val="single" w:color="000000" w:sz="8" w:space="0"/>
              <w:right w:val="single" w:color="000000" w:sz="8" w:space="0"/>
            </w:tcBorders>
            <w:shd w:val="clear" w:color="auto" w:fill="FFFFFF"/>
            <w:vAlign w:val="center"/>
          </w:tcPr>
          <w:p w14:paraId="1600E0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400</w:t>
            </w:r>
          </w:p>
        </w:tc>
        <w:tc>
          <w:tcPr>
            <w:tcW w:w="825" w:type="dxa"/>
            <w:tcBorders>
              <w:top w:val="nil"/>
              <w:left w:val="nil"/>
              <w:bottom w:val="single" w:color="000000" w:sz="8" w:space="0"/>
              <w:right w:val="single" w:color="000000" w:sz="8" w:space="0"/>
            </w:tcBorders>
            <w:shd w:val="clear" w:color="auto" w:fill="F2F2F2"/>
            <w:vAlign w:val="center"/>
          </w:tcPr>
          <w:p w14:paraId="180263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300</w:t>
            </w:r>
          </w:p>
        </w:tc>
        <w:tc>
          <w:tcPr>
            <w:tcW w:w="695" w:type="dxa"/>
            <w:tcBorders>
              <w:top w:val="nil"/>
              <w:left w:val="nil"/>
              <w:bottom w:val="single" w:color="000000" w:sz="8" w:space="0"/>
              <w:right w:val="single" w:color="000000" w:sz="8" w:space="0"/>
            </w:tcBorders>
            <w:shd w:val="clear" w:color="auto" w:fill="FFFFFF"/>
            <w:vAlign w:val="center"/>
          </w:tcPr>
          <w:p w14:paraId="386845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78%</w:t>
            </w:r>
          </w:p>
        </w:tc>
        <w:tc>
          <w:tcPr>
            <w:tcW w:w="595" w:type="dxa"/>
            <w:tcBorders>
              <w:top w:val="nil"/>
              <w:left w:val="nil"/>
              <w:bottom w:val="single" w:color="000000" w:sz="8" w:space="0"/>
              <w:right w:val="single" w:color="000000" w:sz="8" w:space="0"/>
            </w:tcBorders>
            <w:shd w:val="clear" w:color="auto" w:fill="F2F2F2"/>
            <w:vAlign w:val="center"/>
          </w:tcPr>
          <w:p w14:paraId="29D9F0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w:t>
            </w:r>
          </w:p>
        </w:tc>
        <w:tc>
          <w:tcPr>
            <w:tcW w:w="677" w:type="dxa"/>
            <w:tcBorders>
              <w:top w:val="nil"/>
              <w:left w:val="nil"/>
              <w:bottom w:val="single" w:color="000000" w:sz="8" w:space="0"/>
              <w:right w:val="single" w:color="000000" w:sz="8" w:space="0"/>
            </w:tcBorders>
            <w:shd w:val="clear" w:color="auto" w:fill="FFFFFF"/>
            <w:vAlign w:val="center"/>
          </w:tcPr>
          <w:p w14:paraId="152762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83%</w:t>
            </w:r>
          </w:p>
        </w:tc>
        <w:tc>
          <w:tcPr>
            <w:tcW w:w="838" w:type="dxa"/>
            <w:tcBorders>
              <w:top w:val="nil"/>
              <w:left w:val="nil"/>
              <w:bottom w:val="single" w:color="000000" w:sz="8" w:space="0"/>
              <w:right w:val="single" w:color="000000" w:sz="8" w:space="0"/>
            </w:tcBorders>
            <w:shd w:val="clear" w:color="auto" w:fill="F2F2F2"/>
            <w:vAlign w:val="center"/>
          </w:tcPr>
          <w:p w14:paraId="6B067A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83.50%</w:t>
            </w:r>
          </w:p>
        </w:tc>
        <w:tc>
          <w:tcPr>
            <w:tcW w:w="1086" w:type="dxa"/>
            <w:gridSpan w:val="2"/>
            <w:vMerge w:val="restart"/>
            <w:tcBorders>
              <w:top w:val="nil"/>
              <w:left w:val="nil"/>
              <w:bottom w:val="single" w:color="000000" w:sz="8" w:space="0"/>
              <w:right w:val="single" w:color="000000" w:sz="8" w:space="0"/>
            </w:tcBorders>
            <w:shd w:val="clear" w:color="auto" w:fill="FFFFFF"/>
            <w:vAlign w:val="center"/>
          </w:tcPr>
          <w:p w14:paraId="0ADE05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75%</w:t>
            </w:r>
          </w:p>
        </w:tc>
        <w:tc>
          <w:tcPr>
            <w:tcW w:w="744" w:type="dxa"/>
            <w:vMerge w:val="continue"/>
            <w:tcBorders>
              <w:top w:val="nil"/>
              <w:left w:val="nil"/>
              <w:bottom w:val="single" w:color="000000" w:sz="8" w:space="0"/>
              <w:right w:val="single" w:color="000000" w:sz="8" w:space="0"/>
            </w:tcBorders>
            <w:shd w:val="clear" w:color="auto" w:fill="F2F2F2"/>
            <w:vAlign w:val="center"/>
          </w:tcPr>
          <w:p w14:paraId="1AB7C8BC">
            <w:pPr>
              <w:jc w:val="center"/>
              <w:rPr>
                <w:rFonts w:hint="default" w:ascii="Times New Roman" w:hAnsi="Times New Roman" w:eastAsia="宋体" w:cs="Times New Roman"/>
                <w:i w:val="0"/>
                <w:iCs w:val="0"/>
                <w:color w:val="000000"/>
                <w:sz w:val="21"/>
                <w:szCs w:val="21"/>
                <w:u w:val="none"/>
              </w:rPr>
            </w:pPr>
          </w:p>
        </w:tc>
      </w:tr>
      <w:tr w14:paraId="3F16E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5EC1639F">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0A9079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w:t>
            </w:r>
          </w:p>
        </w:tc>
        <w:tc>
          <w:tcPr>
            <w:tcW w:w="630" w:type="dxa"/>
            <w:tcBorders>
              <w:top w:val="nil"/>
              <w:left w:val="nil"/>
              <w:bottom w:val="single" w:color="000000" w:sz="8" w:space="0"/>
              <w:right w:val="single" w:color="000000" w:sz="8" w:space="0"/>
            </w:tcBorders>
            <w:shd w:val="clear" w:color="auto" w:fill="FFFFFF"/>
            <w:vAlign w:val="center"/>
          </w:tcPr>
          <w:p w14:paraId="523EF4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800</w:t>
            </w:r>
          </w:p>
        </w:tc>
        <w:tc>
          <w:tcPr>
            <w:tcW w:w="825" w:type="dxa"/>
            <w:tcBorders>
              <w:top w:val="nil"/>
              <w:left w:val="nil"/>
              <w:bottom w:val="single" w:color="000000" w:sz="8" w:space="0"/>
              <w:right w:val="single" w:color="000000" w:sz="8" w:space="0"/>
            </w:tcBorders>
            <w:shd w:val="clear" w:color="auto" w:fill="F2F2F2"/>
            <w:vAlign w:val="center"/>
          </w:tcPr>
          <w:p w14:paraId="7BBEA6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700</w:t>
            </w:r>
          </w:p>
        </w:tc>
        <w:tc>
          <w:tcPr>
            <w:tcW w:w="695" w:type="dxa"/>
            <w:tcBorders>
              <w:top w:val="nil"/>
              <w:left w:val="nil"/>
              <w:bottom w:val="single" w:color="000000" w:sz="8" w:space="0"/>
              <w:right w:val="single" w:color="000000" w:sz="8" w:space="0"/>
            </w:tcBorders>
            <w:shd w:val="clear" w:color="auto" w:fill="FFFFFF"/>
            <w:vAlign w:val="center"/>
          </w:tcPr>
          <w:p w14:paraId="22727D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73%</w:t>
            </w:r>
          </w:p>
        </w:tc>
        <w:tc>
          <w:tcPr>
            <w:tcW w:w="595" w:type="dxa"/>
            <w:tcBorders>
              <w:top w:val="nil"/>
              <w:left w:val="nil"/>
              <w:bottom w:val="single" w:color="000000" w:sz="8" w:space="0"/>
              <w:right w:val="single" w:color="000000" w:sz="8" w:space="0"/>
            </w:tcBorders>
            <w:shd w:val="clear" w:color="auto" w:fill="F2F2F2"/>
            <w:vAlign w:val="center"/>
          </w:tcPr>
          <w:p w14:paraId="37D3EE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75%</w:t>
            </w:r>
          </w:p>
        </w:tc>
        <w:tc>
          <w:tcPr>
            <w:tcW w:w="677" w:type="dxa"/>
            <w:tcBorders>
              <w:top w:val="nil"/>
              <w:left w:val="nil"/>
              <w:bottom w:val="single" w:color="000000" w:sz="8" w:space="0"/>
              <w:right w:val="single" w:color="000000" w:sz="8" w:space="0"/>
            </w:tcBorders>
            <w:shd w:val="clear" w:color="auto" w:fill="FFFFFF"/>
            <w:vAlign w:val="center"/>
          </w:tcPr>
          <w:p w14:paraId="344475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79%</w:t>
            </w:r>
          </w:p>
        </w:tc>
        <w:tc>
          <w:tcPr>
            <w:tcW w:w="838" w:type="dxa"/>
            <w:tcBorders>
              <w:top w:val="nil"/>
              <w:left w:val="nil"/>
              <w:bottom w:val="single" w:color="000000" w:sz="8" w:space="0"/>
              <w:right w:val="single" w:color="000000" w:sz="8" w:space="0"/>
            </w:tcBorders>
            <w:shd w:val="clear" w:color="auto" w:fill="F2F2F2"/>
            <w:vAlign w:val="center"/>
          </w:tcPr>
          <w:p w14:paraId="230E1B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33A7973D">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445E4A76">
            <w:pPr>
              <w:jc w:val="center"/>
              <w:rPr>
                <w:rFonts w:hint="default" w:ascii="Times New Roman" w:hAnsi="Times New Roman" w:eastAsia="宋体" w:cs="Times New Roman"/>
                <w:i w:val="0"/>
                <w:iCs w:val="0"/>
                <w:color w:val="000000"/>
                <w:sz w:val="21"/>
                <w:szCs w:val="21"/>
                <w:u w:val="none"/>
              </w:rPr>
            </w:pPr>
          </w:p>
        </w:tc>
      </w:tr>
      <w:tr w14:paraId="25C36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516999D9">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2885D6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w:t>
            </w:r>
          </w:p>
        </w:tc>
        <w:tc>
          <w:tcPr>
            <w:tcW w:w="630" w:type="dxa"/>
            <w:tcBorders>
              <w:top w:val="nil"/>
              <w:left w:val="nil"/>
              <w:bottom w:val="single" w:color="000000" w:sz="8" w:space="0"/>
              <w:right w:val="single" w:color="000000" w:sz="8" w:space="0"/>
            </w:tcBorders>
            <w:shd w:val="clear" w:color="auto" w:fill="FFFFFF"/>
            <w:vAlign w:val="center"/>
          </w:tcPr>
          <w:p w14:paraId="193725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1600</w:t>
            </w:r>
          </w:p>
        </w:tc>
        <w:tc>
          <w:tcPr>
            <w:tcW w:w="825" w:type="dxa"/>
            <w:tcBorders>
              <w:top w:val="nil"/>
              <w:left w:val="nil"/>
              <w:bottom w:val="single" w:color="000000" w:sz="8" w:space="0"/>
              <w:right w:val="single" w:color="000000" w:sz="8" w:space="0"/>
            </w:tcBorders>
            <w:shd w:val="clear" w:color="auto" w:fill="F2F2F2"/>
            <w:vAlign w:val="center"/>
          </w:tcPr>
          <w:p w14:paraId="1C177B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1500</w:t>
            </w:r>
          </w:p>
        </w:tc>
        <w:tc>
          <w:tcPr>
            <w:tcW w:w="695" w:type="dxa"/>
            <w:tcBorders>
              <w:top w:val="nil"/>
              <w:left w:val="nil"/>
              <w:bottom w:val="single" w:color="000000" w:sz="8" w:space="0"/>
              <w:right w:val="single" w:color="000000" w:sz="8" w:space="0"/>
            </w:tcBorders>
            <w:shd w:val="clear" w:color="auto" w:fill="FFFFFF"/>
            <w:vAlign w:val="center"/>
          </w:tcPr>
          <w:p w14:paraId="0DE5F0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595" w:type="dxa"/>
            <w:tcBorders>
              <w:top w:val="nil"/>
              <w:left w:val="nil"/>
              <w:bottom w:val="single" w:color="000000" w:sz="8" w:space="0"/>
              <w:right w:val="single" w:color="000000" w:sz="8" w:space="0"/>
            </w:tcBorders>
            <w:shd w:val="clear" w:color="auto" w:fill="F2F2F2"/>
            <w:vAlign w:val="center"/>
          </w:tcPr>
          <w:p w14:paraId="7F07F1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73%</w:t>
            </w:r>
          </w:p>
        </w:tc>
        <w:tc>
          <w:tcPr>
            <w:tcW w:w="677" w:type="dxa"/>
            <w:tcBorders>
              <w:top w:val="nil"/>
              <w:left w:val="nil"/>
              <w:bottom w:val="single" w:color="000000" w:sz="8" w:space="0"/>
              <w:right w:val="single" w:color="000000" w:sz="8" w:space="0"/>
            </w:tcBorders>
            <w:shd w:val="clear" w:color="auto" w:fill="FFFFFF"/>
            <w:vAlign w:val="center"/>
          </w:tcPr>
          <w:p w14:paraId="75E3A7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75%</w:t>
            </w:r>
          </w:p>
        </w:tc>
        <w:tc>
          <w:tcPr>
            <w:tcW w:w="838" w:type="dxa"/>
            <w:tcBorders>
              <w:top w:val="nil"/>
              <w:left w:val="nil"/>
              <w:bottom w:val="single" w:color="000000" w:sz="8" w:space="0"/>
              <w:right w:val="single" w:color="000000" w:sz="8" w:space="0"/>
            </w:tcBorders>
            <w:shd w:val="clear" w:color="auto" w:fill="F2F2F2"/>
            <w:vAlign w:val="center"/>
          </w:tcPr>
          <w:p w14:paraId="522133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77%</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4336CFE7">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44CE7FBE">
            <w:pPr>
              <w:jc w:val="center"/>
              <w:rPr>
                <w:rFonts w:hint="default" w:ascii="Times New Roman" w:hAnsi="Times New Roman" w:eastAsia="宋体" w:cs="Times New Roman"/>
                <w:i w:val="0"/>
                <w:iCs w:val="0"/>
                <w:color w:val="000000"/>
                <w:sz w:val="21"/>
                <w:szCs w:val="21"/>
                <w:u w:val="none"/>
              </w:rPr>
            </w:pPr>
          </w:p>
        </w:tc>
      </w:tr>
      <w:tr w14:paraId="447FE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996" w:type="dxa"/>
            <w:vMerge w:val="restart"/>
            <w:tcBorders>
              <w:top w:val="nil"/>
              <w:left w:val="single" w:color="000000" w:sz="8" w:space="0"/>
              <w:bottom w:val="single" w:color="000000" w:sz="8" w:space="0"/>
              <w:right w:val="single" w:color="000000" w:sz="8" w:space="0"/>
            </w:tcBorders>
            <w:shd w:val="clear" w:color="auto" w:fill="FFFFFF"/>
            <w:vAlign w:val="center"/>
          </w:tcPr>
          <w:p w14:paraId="44220251">
            <w:pPr>
              <w:keepNext w:val="0"/>
              <w:keepLines w:val="0"/>
              <w:widowControl/>
              <w:suppressLineNumbers w:val="0"/>
              <w:jc w:val="left"/>
              <w:textAlignment w:val="center"/>
              <w:rPr>
                <w:rFonts w:hint="eastAsia" w:ascii="仿宋" w:hAnsi="仿宋" w:eastAsia="仿宋" w:cs="仿宋"/>
                <w:b/>
                <w:bCs/>
                <w:i w:val="0"/>
                <w:iCs w:val="0"/>
                <w:color w:val="08090C"/>
                <w:kern w:val="0"/>
                <w:sz w:val="20"/>
                <w:szCs w:val="20"/>
                <w:u w:val="none"/>
                <w:lang w:val="en-US" w:eastAsia="zh-CN" w:bidi="ar"/>
              </w:rPr>
            </w:pPr>
            <w:r>
              <w:rPr>
                <w:rFonts w:hint="eastAsia" w:ascii="仿宋" w:hAnsi="仿宋" w:eastAsia="仿宋" w:cs="仿宋"/>
                <w:b/>
                <w:bCs/>
                <w:i w:val="0"/>
                <w:iCs w:val="0"/>
                <w:color w:val="08090C"/>
                <w:kern w:val="0"/>
                <w:sz w:val="20"/>
                <w:szCs w:val="20"/>
                <w:u w:val="none"/>
                <w:lang w:val="en-US" w:eastAsia="zh-CN" w:bidi="ar"/>
              </w:rPr>
              <w:t>其他临时外出就医</w:t>
            </w:r>
          </w:p>
          <w:p w14:paraId="124C247D">
            <w:pPr>
              <w:keepNext w:val="0"/>
              <w:keepLines w:val="0"/>
              <w:widowControl/>
              <w:suppressLineNumbers w:val="0"/>
              <w:jc w:val="left"/>
              <w:textAlignment w:val="center"/>
              <w:rPr>
                <w:rFonts w:hint="eastAsia" w:ascii="仿宋" w:hAnsi="仿宋" w:eastAsia="仿宋" w:cs="仿宋"/>
                <w:b/>
                <w:bCs/>
                <w:i w:val="0"/>
                <w:iCs w:val="0"/>
                <w:color w:val="08090C"/>
                <w:sz w:val="20"/>
                <w:szCs w:val="20"/>
                <w:u w:val="none"/>
              </w:rPr>
            </w:pPr>
            <w:r>
              <w:rPr>
                <w:rFonts w:hint="eastAsia" w:ascii="仿宋" w:hAnsi="仿宋" w:eastAsia="仿宋" w:cs="仿宋"/>
                <w:b/>
                <w:bCs/>
                <w:i w:val="0"/>
                <w:iCs w:val="0"/>
                <w:color w:val="08090C"/>
                <w:kern w:val="0"/>
                <w:sz w:val="20"/>
                <w:szCs w:val="20"/>
                <w:u w:val="none"/>
                <w:lang w:val="en-US" w:eastAsia="zh-CN" w:bidi="ar"/>
              </w:rPr>
              <w:t>（省外）</w:t>
            </w:r>
          </w:p>
        </w:tc>
        <w:tc>
          <w:tcPr>
            <w:tcW w:w="960" w:type="dxa"/>
            <w:tcBorders>
              <w:top w:val="nil"/>
              <w:left w:val="nil"/>
              <w:bottom w:val="single" w:color="000000" w:sz="8" w:space="0"/>
              <w:right w:val="single" w:color="000000" w:sz="8" w:space="0"/>
            </w:tcBorders>
            <w:shd w:val="clear" w:color="auto" w:fill="F2F2F2"/>
            <w:vAlign w:val="center"/>
          </w:tcPr>
          <w:p w14:paraId="2186FF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一级及以下</w:t>
            </w:r>
          </w:p>
        </w:tc>
        <w:tc>
          <w:tcPr>
            <w:tcW w:w="630" w:type="dxa"/>
            <w:tcBorders>
              <w:top w:val="nil"/>
              <w:left w:val="nil"/>
              <w:bottom w:val="single" w:color="000000" w:sz="8" w:space="0"/>
              <w:right w:val="single" w:color="000000" w:sz="8" w:space="0"/>
            </w:tcBorders>
            <w:shd w:val="clear" w:color="auto" w:fill="FFFFFF"/>
            <w:vAlign w:val="center"/>
          </w:tcPr>
          <w:p w14:paraId="09A333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400</w:t>
            </w:r>
          </w:p>
        </w:tc>
        <w:tc>
          <w:tcPr>
            <w:tcW w:w="825" w:type="dxa"/>
            <w:tcBorders>
              <w:top w:val="nil"/>
              <w:left w:val="nil"/>
              <w:bottom w:val="single" w:color="000000" w:sz="8" w:space="0"/>
              <w:right w:val="single" w:color="000000" w:sz="8" w:space="0"/>
            </w:tcBorders>
            <w:shd w:val="clear" w:color="auto" w:fill="F2F2F2"/>
            <w:vAlign w:val="center"/>
          </w:tcPr>
          <w:p w14:paraId="6C7B93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300</w:t>
            </w:r>
          </w:p>
        </w:tc>
        <w:tc>
          <w:tcPr>
            <w:tcW w:w="695" w:type="dxa"/>
            <w:tcBorders>
              <w:top w:val="nil"/>
              <w:left w:val="nil"/>
              <w:bottom w:val="single" w:color="000000" w:sz="8" w:space="0"/>
              <w:right w:val="single" w:color="000000" w:sz="8" w:space="0"/>
            </w:tcBorders>
            <w:shd w:val="clear" w:color="auto" w:fill="FFFFFF"/>
            <w:vAlign w:val="center"/>
          </w:tcPr>
          <w:p w14:paraId="51301E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73%</w:t>
            </w:r>
          </w:p>
        </w:tc>
        <w:tc>
          <w:tcPr>
            <w:tcW w:w="595" w:type="dxa"/>
            <w:tcBorders>
              <w:top w:val="nil"/>
              <w:left w:val="nil"/>
              <w:bottom w:val="single" w:color="000000" w:sz="8" w:space="0"/>
              <w:right w:val="single" w:color="000000" w:sz="8" w:space="0"/>
            </w:tcBorders>
            <w:shd w:val="clear" w:color="auto" w:fill="F2F2F2"/>
            <w:vAlign w:val="center"/>
          </w:tcPr>
          <w:p w14:paraId="3014FE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75%</w:t>
            </w:r>
          </w:p>
        </w:tc>
        <w:tc>
          <w:tcPr>
            <w:tcW w:w="677" w:type="dxa"/>
            <w:tcBorders>
              <w:top w:val="nil"/>
              <w:left w:val="nil"/>
              <w:bottom w:val="single" w:color="000000" w:sz="8" w:space="0"/>
              <w:right w:val="single" w:color="000000" w:sz="8" w:space="0"/>
            </w:tcBorders>
            <w:shd w:val="clear" w:color="auto" w:fill="FFFFFF"/>
            <w:vAlign w:val="center"/>
          </w:tcPr>
          <w:p w14:paraId="364279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78%</w:t>
            </w:r>
          </w:p>
        </w:tc>
        <w:tc>
          <w:tcPr>
            <w:tcW w:w="838" w:type="dxa"/>
            <w:tcBorders>
              <w:top w:val="nil"/>
              <w:left w:val="nil"/>
              <w:bottom w:val="single" w:color="000000" w:sz="8" w:space="0"/>
              <w:right w:val="single" w:color="000000" w:sz="8" w:space="0"/>
            </w:tcBorders>
            <w:shd w:val="clear" w:color="auto" w:fill="F2F2F2"/>
            <w:vAlign w:val="center"/>
          </w:tcPr>
          <w:p w14:paraId="19AB62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78.50%</w:t>
            </w:r>
          </w:p>
        </w:tc>
        <w:tc>
          <w:tcPr>
            <w:tcW w:w="1086" w:type="dxa"/>
            <w:gridSpan w:val="2"/>
            <w:vMerge w:val="restart"/>
            <w:tcBorders>
              <w:top w:val="nil"/>
              <w:left w:val="nil"/>
              <w:bottom w:val="single" w:color="000000" w:sz="8" w:space="0"/>
              <w:right w:val="single" w:color="000000" w:sz="8" w:space="0"/>
            </w:tcBorders>
            <w:shd w:val="clear" w:color="auto" w:fill="FFFFFF"/>
            <w:vAlign w:val="center"/>
          </w:tcPr>
          <w:p w14:paraId="68FB63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70%</w:t>
            </w:r>
          </w:p>
        </w:tc>
        <w:tc>
          <w:tcPr>
            <w:tcW w:w="744" w:type="dxa"/>
            <w:vMerge w:val="continue"/>
            <w:tcBorders>
              <w:top w:val="nil"/>
              <w:left w:val="nil"/>
              <w:bottom w:val="single" w:color="000000" w:sz="8" w:space="0"/>
              <w:right w:val="single" w:color="000000" w:sz="8" w:space="0"/>
            </w:tcBorders>
            <w:shd w:val="clear" w:color="auto" w:fill="F2F2F2"/>
            <w:vAlign w:val="center"/>
          </w:tcPr>
          <w:p w14:paraId="7C65F88C">
            <w:pPr>
              <w:jc w:val="center"/>
              <w:rPr>
                <w:rFonts w:hint="default" w:ascii="Times New Roman" w:hAnsi="Times New Roman" w:eastAsia="宋体" w:cs="Times New Roman"/>
                <w:i w:val="0"/>
                <w:iCs w:val="0"/>
                <w:color w:val="000000"/>
                <w:sz w:val="21"/>
                <w:szCs w:val="21"/>
                <w:u w:val="none"/>
              </w:rPr>
            </w:pPr>
          </w:p>
        </w:tc>
      </w:tr>
      <w:tr w14:paraId="34454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0FED5608">
            <w:pPr>
              <w:jc w:val="left"/>
              <w:rPr>
                <w:rFonts w:hint="eastAsia" w:ascii="仿宋" w:hAnsi="仿宋" w:eastAsia="仿宋" w:cs="仿宋"/>
                <w:b/>
                <w:bCs/>
                <w:i w:val="0"/>
                <w:iCs w:val="0"/>
                <w:color w:val="08090C"/>
                <w:sz w:val="20"/>
                <w:szCs w:val="20"/>
                <w:u w:val="none"/>
              </w:rPr>
            </w:pPr>
          </w:p>
        </w:tc>
        <w:tc>
          <w:tcPr>
            <w:tcW w:w="960" w:type="dxa"/>
            <w:tcBorders>
              <w:top w:val="nil"/>
              <w:left w:val="nil"/>
              <w:bottom w:val="single" w:color="000000" w:sz="8" w:space="0"/>
              <w:right w:val="single" w:color="000000" w:sz="8" w:space="0"/>
            </w:tcBorders>
            <w:shd w:val="clear" w:color="auto" w:fill="F2F2F2"/>
            <w:vAlign w:val="center"/>
          </w:tcPr>
          <w:p w14:paraId="6FAC68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二级</w:t>
            </w:r>
          </w:p>
        </w:tc>
        <w:tc>
          <w:tcPr>
            <w:tcW w:w="630" w:type="dxa"/>
            <w:tcBorders>
              <w:top w:val="nil"/>
              <w:left w:val="nil"/>
              <w:bottom w:val="single" w:color="000000" w:sz="8" w:space="0"/>
              <w:right w:val="single" w:color="000000" w:sz="8" w:space="0"/>
            </w:tcBorders>
            <w:shd w:val="clear" w:color="auto" w:fill="FFFFFF"/>
            <w:vAlign w:val="center"/>
          </w:tcPr>
          <w:p w14:paraId="7A8C38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800</w:t>
            </w:r>
          </w:p>
        </w:tc>
        <w:tc>
          <w:tcPr>
            <w:tcW w:w="825" w:type="dxa"/>
            <w:tcBorders>
              <w:top w:val="nil"/>
              <w:left w:val="nil"/>
              <w:bottom w:val="single" w:color="000000" w:sz="8" w:space="0"/>
              <w:right w:val="single" w:color="000000" w:sz="8" w:space="0"/>
            </w:tcBorders>
            <w:shd w:val="clear" w:color="auto" w:fill="F2F2F2"/>
            <w:vAlign w:val="center"/>
          </w:tcPr>
          <w:p w14:paraId="5E0939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700</w:t>
            </w:r>
          </w:p>
        </w:tc>
        <w:tc>
          <w:tcPr>
            <w:tcW w:w="695" w:type="dxa"/>
            <w:tcBorders>
              <w:top w:val="nil"/>
              <w:left w:val="nil"/>
              <w:bottom w:val="single" w:color="000000" w:sz="8" w:space="0"/>
              <w:right w:val="single" w:color="000000" w:sz="8" w:space="0"/>
            </w:tcBorders>
            <w:shd w:val="clear" w:color="auto" w:fill="FFFFFF"/>
            <w:vAlign w:val="center"/>
          </w:tcPr>
          <w:p w14:paraId="638C8A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68%</w:t>
            </w:r>
          </w:p>
        </w:tc>
        <w:tc>
          <w:tcPr>
            <w:tcW w:w="595" w:type="dxa"/>
            <w:tcBorders>
              <w:top w:val="nil"/>
              <w:left w:val="nil"/>
              <w:bottom w:val="single" w:color="000000" w:sz="8" w:space="0"/>
              <w:right w:val="single" w:color="000000" w:sz="8" w:space="0"/>
            </w:tcBorders>
            <w:shd w:val="clear" w:color="auto" w:fill="F2F2F2"/>
            <w:vAlign w:val="center"/>
          </w:tcPr>
          <w:p w14:paraId="333E0B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677" w:type="dxa"/>
            <w:tcBorders>
              <w:top w:val="nil"/>
              <w:left w:val="nil"/>
              <w:bottom w:val="single" w:color="000000" w:sz="8" w:space="0"/>
              <w:right w:val="single" w:color="000000" w:sz="8" w:space="0"/>
            </w:tcBorders>
            <w:shd w:val="clear" w:color="auto" w:fill="FFFFFF"/>
            <w:vAlign w:val="center"/>
          </w:tcPr>
          <w:p w14:paraId="16DCC8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74%</w:t>
            </w:r>
          </w:p>
        </w:tc>
        <w:tc>
          <w:tcPr>
            <w:tcW w:w="838" w:type="dxa"/>
            <w:tcBorders>
              <w:top w:val="nil"/>
              <w:left w:val="nil"/>
              <w:bottom w:val="single" w:color="000000" w:sz="8" w:space="0"/>
              <w:right w:val="single" w:color="000000" w:sz="8" w:space="0"/>
            </w:tcBorders>
            <w:shd w:val="clear" w:color="auto" w:fill="F2F2F2"/>
            <w:vAlign w:val="center"/>
          </w:tcPr>
          <w:p w14:paraId="4247D2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75%</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3EA7C12A">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4325B361">
            <w:pPr>
              <w:jc w:val="center"/>
              <w:rPr>
                <w:rFonts w:hint="default" w:ascii="Times New Roman" w:hAnsi="Times New Roman" w:eastAsia="宋体" w:cs="Times New Roman"/>
                <w:i w:val="0"/>
                <w:iCs w:val="0"/>
                <w:color w:val="000000"/>
                <w:sz w:val="21"/>
                <w:szCs w:val="21"/>
                <w:u w:val="none"/>
              </w:rPr>
            </w:pPr>
          </w:p>
        </w:tc>
      </w:tr>
      <w:tr w14:paraId="2F468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vMerge w:val="continue"/>
            <w:tcBorders>
              <w:top w:val="nil"/>
              <w:left w:val="single" w:color="000000" w:sz="8" w:space="0"/>
              <w:bottom w:val="single" w:color="000000" w:sz="8" w:space="0"/>
              <w:right w:val="single" w:color="000000" w:sz="8" w:space="0"/>
            </w:tcBorders>
            <w:shd w:val="clear" w:color="auto" w:fill="FFFFFF"/>
            <w:vAlign w:val="center"/>
          </w:tcPr>
          <w:p w14:paraId="1014B842">
            <w:pPr>
              <w:jc w:val="left"/>
              <w:rPr>
                <w:rFonts w:hint="eastAsia" w:ascii="仿宋" w:hAnsi="仿宋" w:eastAsia="仿宋" w:cs="仿宋"/>
                <w:b/>
                <w:bCs/>
                <w:i w:val="0"/>
                <w:iCs w:val="0"/>
                <w:color w:val="08090C"/>
                <w:sz w:val="20"/>
                <w:szCs w:val="20"/>
                <w:u w:val="none"/>
              </w:rPr>
            </w:pPr>
          </w:p>
        </w:tc>
        <w:tc>
          <w:tcPr>
            <w:tcW w:w="960" w:type="dxa"/>
            <w:tcBorders>
              <w:top w:val="nil"/>
              <w:left w:val="nil"/>
              <w:bottom w:val="nil"/>
              <w:right w:val="single" w:color="000000" w:sz="8" w:space="0"/>
            </w:tcBorders>
            <w:shd w:val="clear" w:color="auto" w:fill="F2F2F2"/>
            <w:vAlign w:val="center"/>
          </w:tcPr>
          <w:p w14:paraId="5F19D9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三级</w:t>
            </w:r>
          </w:p>
        </w:tc>
        <w:tc>
          <w:tcPr>
            <w:tcW w:w="630" w:type="dxa"/>
            <w:tcBorders>
              <w:top w:val="nil"/>
              <w:left w:val="nil"/>
              <w:bottom w:val="nil"/>
              <w:right w:val="single" w:color="000000" w:sz="8" w:space="0"/>
            </w:tcBorders>
            <w:shd w:val="clear" w:color="auto" w:fill="FFFFFF"/>
            <w:vAlign w:val="center"/>
          </w:tcPr>
          <w:p w14:paraId="4B9D91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1600</w:t>
            </w:r>
          </w:p>
        </w:tc>
        <w:tc>
          <w:tcPr>
            <w:tcW w:w="825" w:type="dxa"/>
            <w:tcBorders>
              <w:top w:val="nil"/>
              <w:left w:val="nil"/>
              <w:bottom w:val="nil"/>
              <w:right w:val="single" w:color="000000" w:sz="8" w:space="0"/>
            </w:tcBorders>
            <w:shd w:val="clear" w:color="auto" w:fill="F2F2F2"/>
            <w:vAlign w:val="center"/>
          </w:tcPr>
          <w:p w14:paraId="69E0F4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1500</w:t>
            </w:r>
          </w:p>
        </w:tc>
        <w:tc>
          <w:tcPr>
            <w:tcW w:w="695" w:type="dxa"/>
            <w:tcBorders>
              <w:top w:val="nil"/>
              <w:left w:val="nil"/>
              <w:bottom w:val="nil"/>
              <w:right w:val="single" w:color="000000" w:sz="8" w:space="0"/>
            </w:tcBorders>
            <w:shd w:val="clear" w:color="auto" w:fill="FFFFFF"/>
            <w:vAlign w:val="center"/>
          </w:tcPr>
          <w:p w14:paraId="6B12A9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65%</w:t>
            </w:r>
          </w:p>
        </w:tc>
        <w:tc>
          <w:tcPr>
            <w:tcW w:w="595" w:type="dxa"/>
            <w:tcBorders>
              <w:top w:val="nil"/>
              <w:left w:val="nil"/>
              <w:bottom w:val="nil"/>
              <w:right w:val="single" w:color="000000" w:sz="8" w:space="0"/>
            </w:tcBorders>
            <w:shd w:val="clear" w:color="auto" w:fill="F2F2F2"/>
            <w:vAlign w:val="center"/>
          </w:tcPr>
          <w:p w14:paraId="285672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68%</w:t>
            </w:r>
          </w:p>
        </w:tc>
        <w:tc>
          <w:tcPr>
            <w:tcW w:w="677" w:type="dxa"/>
            <w:tcBorders>
              <w:top w:val="nil"/>
              <w:left w:val="nil"/>
              <w:bottom w:val="nil"/>
              <w:right w:val="single" w:color="000000" w:sz="8" w:space="0"/>
            </w:tcBorders>
            <w:shd w:val="clear" w:color="auto" w:fill="FFFFFF"/>
            <w:vAlign w:val="center"/>
          </w:tcPr>
          <w:p w14:paraId="23AE34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838" w:type="dxa"/>
            <w:tcBorders>
              <w:top w:val="nil"/>
              <w:left w:val="nil"/>
              <w:bottom w:val="nil"/>
              <w:right w:val="single" w:color="000000" w:sz="8" w:space="0"/>
            </w:tcBorders>
            <w:shd w:val="clear" w:color="auto" w:fill="F2F2F2"/>
            <w:vAlign w:val="center"/>
          </w:tcPr>
          <w:p w14:paraId="3EF361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086" w:type="dxa"/>
            <w:gridSpan w:val="2"/>
            <w:vMerge w:val="continue"/>
            <w:tcBorders>
              <w:top w:val="nil"/>
              <w:left w:val="nil"/>
              <w:bottom w:val="single" w:color="000000" w:sz="8" w:space="0"/>
              <w:right w:val="single" w:color="000000" w:sz="8" w:space="0"/>
            </w:tcBorders>
            <w:shd w:val="clear" w:color="auto" w:fill="FFFFFF"/>
            <w:vAlign w:val="center"/>
          </w:tcPr>
          <w:p w14:paraId="75F720A6">
            <w:pPr>
              <w:jc w:val="center"/>
              <w:rPr>
                <w:rFonts w:hint="eastAsia" w:ascii="仿宋" w:hAnsi="仿宋" w:eastAsia="仿宋" w:cs="仿宋"/>
                <w:i w:val="0"/>
                <w:iCs w:val="0"/>
                <w:color w:val="000000"/>
                <w:sz w:val="22"/>
                <w:szCs w:val="22"/>
                <w:u w:val="none"/>
              </w:rPr>
            </w:pPr>
          </w:p>
        </w:tc>
        <w:tc>
          <w:tcPr>
            <w:tcW w:w="744" w:type="dxa"/>
            <w:vMerge w:val="continue"/>
            <w:tcBorders>
              <w:top w:val="nil"/>
              <w:left w:val="nil"/>
              <w:bottom w:val="single" w:color="000000" w:sz="8" w:space="0"/>
              <w:right w:val="single" w:color="000000" w:sz="8" w:space="0"/>
            </w:tcBorders>
            <w:shd w:val="clear" w:color="auto" w:fill="F2F2F2"/>
            <w:vAlign w:val="center"/>
          </w:tcPr>
          <w:p w14:paraId="3BDD3045">
            <w:pPr>
              <w:jc w:val="center"/>
              <w:rPr>
                <w:rFonts w:hint="default" w:ascii="Times New Roman" w:hAnsi="Times New Roman" w:eastAsia="宋体" w:cs="Times New Roman"/>
                <w:i w:val="0"/>
                <w:iCs w:val="0"/>
                <w:color w:val="000000"/>
                <w:sz w:val="21"/>
                <w:szCs w:val="21"/>
                <w:u w:val="none"/>
              </w:rPr>
            </w:pPr>
          </w:p>
        </w:tc>
      </w:tr>
      <w:tr w14:paraId="03E10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8046"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2FEF05B5">
            <w:pPr>
              <w:keepNext w:val="0"/>
              <w:keepLines w:val="0"/>
              <w:widowControl/>
              <w:suppressLineNumbers w:val="0"/>
              <w:jc w:val="left"/>
              <w:textAlignment w:val="center"/>
              <w:rPr>
                <w:rFonts w:hint="eastAsia" w:ascii="仿宋" w:hAnsi="仿宋" w:eastAsia="仿宋" w:cs="仿宋"/>
                <w:b/>
                <w:bCs/>
                <w:i w:val="0"/>
                <w:iCs w:val="0"/>
                <w:color w:val="08090C"/>
                <w:sz w:val="22"/>
                <w:szCs w:val="22"/>
                <w:u w:val="none"/>
              </w:rPr>
            </w:pPr>
            <w:r>
              <w:rPr>
                <w:rFonts w:hint="eastAsia" w:ascii="仿宋" w:hAnsi="仿宋" w:eastAsia="仿宋" w:cs="仿宋"/>
                <w:b/>
                <w:bCs/>
                <w:i w:val="0"/>
                <w:iCs w:val="0"/>
                <w:color w:val="08090C"/>
                <w:kern w:val="0"/>
                <w:sz w:val="22"/>
                <w:szCs w:val="22"/>
                <w:u w:val="none"/>
                <w:lang w:val="en-US" w:eastAsia="zh-CN" w:bidi="ar"/>
              </w:rPr>
              <w:t>备注：1.按照皖医保秘〔2022〕103号文件规定：异地长期居住人员包括：异地安置退休人员、异地长期居住人员、常驻异地工作人员；临时外出就医人员包括异地转诊就医人员和其他临时外出就医人员。</w:t>
            </w:r>
            <w:r>
              <w:rPr>
                <w:rFonts w:hint="eastAsia" w:ascii="仿宋" w:hAnsi="仿宋" w:eastAsia="仿宋" w:cs="仿宋"/>
                <w:b/>
                <w:bCs/>
                <w:i w:val="0"/>
                <w:iCs w:val="0"/>
                <w:color w:val="08090C"/>
                <w:kern w:val="0"/>
                <w:sz w:val="22"/>
                <w:szCs w:val="22"/>
                <w:u w:val="none"/>
                <w:lang w:val="en-US" w:eastAsia="zh-CN" w:bidi="ar"/>
              </w:rPr>
              <w:br w:type="textWrapping"/>
            </w:r>
            <w:r>
              <w:rPr>
                <w:rFonts w:hint="eastAsia" w:ascii="仿宋" w:hAnsi="仿宋" w:eastAsia="仿宋" w:cs="仿宋"/>
                <w:b/>
                <w:bCs/>
                <w:i w:val="0"/>
                <w:iCs w:val="0"/>
                <w:color w:val="08090C"/>
                <w:kern w:val="0"/>
                <w:sz w:val="22"/>
                <w:szCs w:val="22"/>
                <w:u w:val="none"/>
                <w:lang w:val="en-US" w:eastAsia="zh-CN" w:bidi="ar"/>
              </w:rPr>
              <w:t xml:space="preserve">     2.省内异地其他临时外出就医人员可免备案。3.医疗救助对象需按规定办理转诊手续。</w:t>
            </w:r>
          </w:p>
        </w:tc>
      </w:tr>
    </w:tbl>
    <w:p w14:paraId="60CF35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eastAsia" w:ascii="黑体" w:hAnsi="宋体" w:eastAsia="黑体" w:cs="黑体"/>
          <w:i w:val="0"/>
          <w:iCs w:val="0"/>
          <w:caps w:val="0"/>
          <w:color w:val="4BACC6"/>
          <w:spacing w:val="0"/>
          <w:sz w:val="32"/>
          <w:szCs w:val="32"/>
          <w:shd w:val="clear" w:fill="FFFFFF"/>
        </w:rPr>
      </w:pPr>
    </w:p>
    <w:p w14:paraId="16E0A5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黑体" w:hAnsi="宋体" w:eastAsia="黑体" w:cs="黑体"/>
          <w:i w:val="0"/>
          <w:iCs w:val="0"/>
          <w:caps w:val="0"/>
          <w:color w:val="4BACC6"/>
          <w:spacing w:val="0"/>
          <w:sz w:val="32"/>
          <w:szCs w:val="32"/>
          <w:shd w:val="clear" w:fill="FFFFFF"/>
        </w:rPr>
        <w:t>二、居民医保住院费用报销比例是多少？</w:t>
      </w:r>
    </w:p>
    <w:p w14:paraId="34EAE3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3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1.普通住院:居民医保参保人员在定点医疗机构住院发生的医疗费用，符合医保政策范围内医疗费用具体报销比例如下：</w:t>
      </w:r>
    </w:p>
    <w:tbl>
      <w:tblPr>
        <w:tblStyle w:val="3"/>
        <w:tblW w:w="9240"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083"/>
        <w:gridCol w:w="2549"/>
        <w:gridCol w:w="1410"/>
        <w:gridCol w:w="1147"/>
        <w:gridCol w:w="3051"/>
      </w:tblGrid>
      <w:tr w14:paraId="75989D9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583" w:hRule="atLeast"/>
          <w:jc w:val="center"/>
        </w:trPr>
        <w:tc>
          <w:tcPr>
            <w:tcW w:w="9240" w:type="dxa"/>
            <w:gridSpan w:val="5"/>
            <w:tcBorders>
              <w:top w:val="single" w:color="80DED6" w:sz="6" w:space="0"/>
              <w:left w:val="single" w:color="80DED6" w:sz="6" w:space="0"/>
              <w:bottom w:val="single" w:color="80DED6" w:sz="6" w:space="0"/>
              <w:right w:val="single" w:color="80DED6" w:sz="6" w:space="0"/>
            </w:tcBorders>
            <w:shd w:val="clear" w:color="auto" w:fill="80DED6"/>
            <w:tcMar>
              <w:top w:w="0" w:type="dxa"/>
              <w:left w:w="108" w:type="dxa"/>
              <w:bottom w:w="0" w:type="dxa"/>
              <w:right w:w="108" w:type="dxa"/>
            </w:tcMar>
            <w:vAlign w:val="center"/>
          </w:tcPr>
          <w:p w14:paraId="035471E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方正小标宋简体" w:hAnsi="方正小标宋简体" w:eastAsia="方正小标宋简体" w:cs="方正小标宋简体"/>
                <w:b/>
                <w:bCs/>
                <w:color w:val="08090C"/>
                <w:sz w:val="32"/>
                <w:szCs w:val="32"/>
              </w:rPr>
              <w:t>蚌埠市（统筹地区）城乡居民基本医疗统筹基金及大病支付比例</w:t>
            </w:r>
          </w:p>
        </w:tc>
      </w:tr>
      <w:tr w14:paraId="21EBF8D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39" w:hRule="atLeast"/>
          <w:jc w:val="center"/>
        </w:trPr>
        <w:tc>
          <w:tcPr>
            <w:tcW w:w="1083"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28F4F2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21"/>
                <w:szCs w:val="21"/>
              </w:rPr>
              <w:t> </w:t>
            </w:r>
          </w:p>
        </w:tc>
        <w:tc>
          <w:tcPr>
            <w:tcW w:w="5106" w:type="dxa"/>
            <w:gridSpan w:val="3"/>
            <w:tcBorders>
              <w:top w:val="single" w:color="80DED6" w:sz="6" w:space="0"/>
              <w:left w:val="single" w:color="80DED6" w:sz="6" w:space="0"/>
              <w:bottom w:val="single" w:color="80DED6" w:sz="6" w:space="0"/>
              <w:right w:val="single" w:color="80DED6" w:sz="6" w:space="0"/>
            </w:tcBorders>
            <w:shd w:val="clear" w:color="auto" w:fill="F2F2F2"/>
            <w:tcMar>
              <w:top w:w="0" w:type="dxa"/>
              <w:left w:w="108" w:type="dxa"/>
              <w:bottom w:w="0" w:type="dxa"/>
              <w:right w:w="108" w:type="dxa"/>
            </w:tcMar>
            <w:vAlign w:val="center"/>
          </w:tcPr>
          <w:p w14:paraId="7D1E161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基本医疗保险待遇</w:t>
            </w:r>
          </w:p>
        </w:tc>
        <w:tc>
          <w:tcPr>
            <w:tcW w:w="3051" w:type="dxa"/>
            <w:tcBorders>
              <w:top w:val="single" w:color="80DED6" w:sz="6" w:space="0"/>
              <w:left w:val="single" w:color="80DED6" w:sz="6" w:space="0"/>
              <w:bottom w:val="single" w:color="80DED6" w:sz="6" w:space="0"/>
              <w:right w:val="single" w:color="80DED6" w:sz="6" w:space="0"/>
            </w:tcBorders>
            <w:shd w:val="clear" w:color="auto" w:fill="FFFFFF"/>
            <w:tcMar>
              <w:top w:w="0" w:type="dxa"/>
              <w:left w:w="108" w:type="dxa"/>
              <w:bottom w:w="0" w:type="dxa"/>
              <w:right w:w="108" w:type="dxa"/>
            </w:tcMar>
            <w:vAlign w:val="center"/>
          </w:tcPr>
          <w:p w14:paraId="4EAF663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大病保险待遇</w:t>
            </w:r>
          </w:p>
        </w:tc>
      </w:tr>
      <w:tr w14:paraId="41A8D21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70" w:hRule="atLeast"/>
          <w:jc w:val="center"/>
        </w:trPr>
        <w:tc>
          <w:tcPr>
            <w:tcW w:w="1083"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826542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bCs/>
                <w:color w:val="08090C"/>
                <w:sz w:val="22"/>
                <w:szCs w:val="22"/>
              </w:rPr>
              <w:t>备案类别</w:t>
            </w: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0A44369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医疗机构级别</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52C4E4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起付线（元）</w:t>
            </w:r>
          </w:p>
        </w:tc>
        <w:tc>
          <w:tcPr>
            <w:tcW w:w="1147" w:type="dxa"/>
            <w:tcBorders>
              <w:top w:val="single" w:color="80DED6" w:sz="6" w:space="0"/>
              <w:left w:val="single" w:color="80DED6" w:sz="6" w:space="0"/>
              <w:bottom w:val="single" w:color="80DED6" w:sz="6" w:space="0"/>
              <w:right w:val="single" w:color="80DED6" w:sz="6" w:space="0"/>
            </w:tcBorders>
            <w:shd w:val="clear" w:color="auto" w:fill="F2F2F2"/>
            <w:tcMar>
              <w:top w:w="0" w:type="dxa"/>
              <w:left w:w="108" w:type="dxa"/>
              <w:bottom w:w="0" w:type="dxa"/>
              <w:right w:w="108" w:type="dxa"/>
            </w:tcMar>
            <w:vAlign w:val="center"/>
          </w:tcPr>
          <w:p w14:paraId="1BB59EE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支付比例</w:t>
            </w:r>
          </w:p>
        </w:tc>
        <w:tc>
          <w:tcPr>
            <w:tcW w:w="3051" w:type="dxa"/>
            <w:tcBorders>
              <w:top w:val="single" w:color="80DED6" w:sz="6" w:space="0"/>
              <w:left w:val="single" w:color="80DED6" w:sz="6" w:space="0"/>
              <w:bottom w:val="single" w:color="80DED6" w:sz="6" w:space="0"/>
              <w:right w:val="single" w:color="80DED6" w:sz="6" w:space="0"/>
            </w:tcBorders>
            <w:shd w:val="clear" w:color="auto" w:fill="FFFFFF"/>
            <w:tcMar>
              <w:top w:w="0" w:type="dxa"/>
              <w:left w:w="108" w:type="dxa"/>
              <w:bottom w:w="0" w:type="dxa"/>
              <w:right w:w="108" w:type="dxa"/>
            </w:tcMar>
            <w:vAlign w:val="center"/>
          </w:tcPr>
          <w:p w14:paraId="6A80B38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both"/>
              <w:rPr>
                <w:rFonts w:hint="default" w:ascii="Times New Roman" w:hAnsi="Times New Roman" w:cs="Times New Roman"/>
                <w:sz w:val="21"/>
                <w:szCs w:val="21"/>
              </w:rPr>
            </w:pPr>
            <w:r>
              <w:rPr>
                <w:rFonts w:hint="eastAsia" w:ascii="仿宋" w:hAnsi="仿宋" w:eastAsia="仿宋" w:cs="仿宋"/>
                <w:color w:val="000000"/>
                <w:sz w:val="22"/>
                <w:szCs w:val="22"/>
              </w:rPr>
              <w:t>普通人群，起付线1.7万元，年度支付限额30万元。分段支付比例：</w:t>
            </w:r>
          </w:p>
        </w:tc>
      </w:tr>
      <w:tr w14:paraId="5CBABD7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83" w:hRule="atLeast"/>
          <w:jc w:val="center"/>
        </w:trPr>
        <w:tc>
          <w:tcPr>
            <w:tcW w:w="1083"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6E62F41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b/>
                <w:bCs/>
                <w:color w:val="08090C"/>
                <w:sz w:val="22"/>
                <w:szCs w:val="22"/>
              </w:rPr>
              <w:t>本地就医人员和异地长期居住人员</w:t>
            </w: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057166D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一级及以下和乡镇卫生院（社区卫生服务中心）</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6AE34E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200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2D508C5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90%</w:t>
            </w:r>
          </w:p>
        </w:tc>
        <w:tc>
          <w:tcPr>
            <w:tcW w:w="3051"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6B4428E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起付线以上5万元（含）60%</w:t>
            </w:r>
          </w:p>
          <w:p w14:paraId="0A2B6AD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5万元-10万元（含）65%</w:t>
            </w:r>
          </w:p>
          <w:p w14:paraId="4B8ADA8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10万元-20万元（含）75%</w:t>
            </w:r>
          </w:p>
          <w:p w14:paraId="18FBAE1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20万元以上80%</w:t>
            </w:r>
          </w:p>
        </w:tc>
      </w:tr>
      <w:tr w14:paraId="7C24AA5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83"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FF940DF">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60623F0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二级和县级</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AE58EA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500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63DDE64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80%</w:t>
            </w: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16718B8B">
            <w:pPr>
              <w:jc w:val="both"/>
              <w:rPr>
                <w:rFonts w:hint="default" w:ascii="Times New Roman" w:hAnsi="Times New Roman" w:cs="Times New Roman"/>
                <w:sz w:val="20"/>
                <w:szCs w:val="20"/>
              </w:rPr>
            </w:pPr>
          </w:p>
        </w:tc>
      </w:tr>
      <w:tr w14:paraId="3B94CF5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78"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970EFF3">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0A92EE2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三级（市属）</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A47C8C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700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06BC319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75%</w:t>
            </w: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8C1D60B">
            <w:pPr>
              <w:jc w:val="both"/>
              <w:rPr>
                <w:rFonts w:hint="default" w:ascii="Times New Roman" w:hAnsi="Times New Roman" w:cs="Times New Roman"/>
                <w:sz w:val="20"/>
                <w:szCs w:val="20"/>
              </w:rPr>
            </w:pPr>
          </w:p>
        </w:tc>
      </w:tr>
      <w:tr w14:paraId="1CDA95C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23"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E0F66DF">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62BC52D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三级（省属）</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15ABCD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1000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4C617AC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70%</w:t>
            </w: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DFA275A">
            <w:pPr>
              <w:jc w:val="both"/>
              <w:rPr>
                <w:rFonts w:hint="default" w:ascii="Times New Roman" w:hAnsi="Times New Roman" w:cs="Times New Roman"/>
                <w:sz w:val="20"/>
                <w:szCs w:val="20"/>
              </w:rPr>
            </w:pPr>
          </w:p>
        </w:tc>
      </w:tr>
      <w:tr w14:paraId="5B1726B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83" w:hRule="atLeast"/>
          <w:jc w:val="center"/>
        </w:trPr>
        <w:tc>
          <w:tcPr>
            <w:tcW w:w="1083"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54F036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100" w:beforeAutospacing="0" w:after="100" w:afterAutospacing="0"/>
              <w:ind w:left="0" w:right="0"/>
              <w:jc w:val="center"/>
              <w:rPr>
                <w:rFonts w:hint="default" w:ascii="Times New Roman" w:hAnsi="Times New Roman" w:cs="Times New Roman"/>
                <w:sz w:val="21"/>
                <w:szCs w:val="21"/>
              </w:rPr>
            </w:pPr>
            <w:r>
              <w:rPr>
                <w:rFonts w:hint="eastAsia" w:ascii="仿宋" w:hAnsi="仿宋" w:eastAsia="仿宋" w:cs="仿宋"/>
                <w:b/>
                <w:bCs/>
                <w:color w:val="08090C"/>
                <w:sz w:val="22"/>
                <w:szCs w:val="22"/>
              </w:rPr>
              <w:t>异地转诊就医人员（省内）</w:t>
            </w: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462630E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一级及以下和乡镇卫生院（社区卫生服务中心）</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29C5DDB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300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0F0497C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85%</w:t>
            </w:r>
          </w:p>
        </w:tc>
        <w:tc>
          <w:tcPr>
            <w:tcW w:w="3051"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2AF21EE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起付线以上5万元（含）55%</w:t>
            </w:r>
          </w:p>
          <w:p w14:paraId="2CA9633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5万元-10万元（含）60%</w:t>
            </w:r>
          </w:p>
          <w:p w14:paraId="33DEFFC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10万元-20万元（含）70%</w:t>
            </w:r>
          </w:p>
          <w:p w14:paraId="20FF3C2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20万元以上75%</w:t>
            </w:r>
          </w:p>
        </w:tc>
      </w:tr>
      <w:tr w14:paraId="29E44B9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44"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8AF654B">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1654A0E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二级和县级</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333CF2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750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323D0BE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75%</w:t>
            </w: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28BF3A9B">
            <w:pPr>
              <w:jc w:val="both"/>
              <w:rPr>
                <w:rFonts w:hint="default" w:ascii="Times New Roman" w:hAnsi="Times New Roman" w:cs="Times New Roman"/>
                <w:sz w:val="20"/>
                <w:szCs w:val="20"/>
              </w:rPr>
            </w:pPr>
          </w:p>
        </w:tc>
      </w:tr>
      <w:tr w14:paraId="1995C70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44"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848A20C">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5AC15C7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三级（市属）</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9C7B94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1050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03AA27F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70%</w:t>
            </w: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899FA61">
            <w:pPr>
              <w:jc w:val="both"/>
              <w:rPr>
                <w:rFonts w:hint="default" w:ascii="Times New Roman" w:hAnsi="Times New Roman" w:cs="Times New Roman"/>
                <w:sz w:val="20"/>
                <w:szCs w:val="20"/>
              </w:rPr>
            </w:pPr>
          </w:p>
        </w:tc>
      </w:tr>
      <w:tr w14:paraId="2412BF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23"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2187F566">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2E44704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三级（省属）</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B3EBCF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1500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1CB26D4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65%</w:t>
            </w: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91F414E">
            <w:pPr>
              <w:jc w:val="both"/>
              <w:rPr>
                <w:rFonts w:hint="default" w:ascii="Times New Roman" w:hAnsi="Times New Roman" w:cs="Times New Roman"/>
                <w:sz w:val="20"/>
                <w:szCs w:val="20"/>
              </w:rPr>
            </w:pPr>
          </w:p>
        </w:tc>
      </w:tr>
      <w:tr w14:paraId="7F0F05F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83" w:hRule="atLeast"/>
          <w:jc w:val="center"/>
        </w:trPr>
        <w:tc>
          <w:tcPr>
            <w:tcW w:w="1083"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1FC16D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100" w:beforeAutospacing="0" w:after="100" w:afterAutospacing="0"/>
              <w:ind w:left="0" w:right="0"/>
              <w:jc w:val="center"/>
              <w:rPr>
                <w:rFonts w:hint="default" w:ascii="Times New Roman" w:hAnsi="Times New Roman" w:cs="Times New Roman"/>
                <w:sz w:val="21"/>
                <w:szCs w:val="21"/>
              </w:rPr>
            </w:pPr>
            <w:r>
              <w:rPr>
                <w:rFonts w:hint="eastAsia" w:ascii="仿宋" w:hAnsi="仿宋" w:eastAsia="仿宋" w:cs="仿宋"/>
                <w:b/>
                <w:bCs/>
                <w:color w:val="08090C"/>
                <w:sz w:val="22"/>
                <w:szCs w:val="22"/>
              </w:rPr>
              <w:t>异地转诊就医人员（省外）</w:t>
            </w: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7FB6485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一级及以下和乡镇卫生院（社区卫生服务中心）</w:t>
            </w:r>
          </w:p>
        </w:tc>
        <w:tc>
          <w:tcPr>
            <w:tcW w:w="1410"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C74E9B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18"/>
                <w:szCs w:val="18"/>
              </w:rPr>
              <w:t>按当次住院总费用20%计算（不足2000元的按2000元计算，最高不超过1万元）</w:t>
            </w:r>
          </w:p>
        </w:tc>
        <w:tc>
          <w:tcPr>
            <w:tcW w:w="1147" w:type="dxa"/>
            <w:vMerge w:val="restart"/>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6F83A31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60%</w:t>
            </w:r>
          </w:p>
        </w:tc>
        <w:tc>
          <w:tcPr>
            <w:tcW w:w="3051"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B067B4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起付线以上5万元（含）50%</w:t>
            </w:r>
          </w:p>
          <w:p w14:paraId="38E51FD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5万元-10万元（含）55%</w:t>
            </w:r>
          </w:p>
          <w:p w14:paraId="09AE3FF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10万元-20万元（含）65%</w:t>
            </w:r>
          </w:p>
          <w:p w14:paraId="30AAD02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20万元以上70%</w:t>
            </w:r>
          </w:p>
        </w:tc>
      </w:tr>
      <w:tr w14:paraId="1A3FC1D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41"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1A80848F">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310086B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二级和县级</w:t>
            </w:r>
          </w:p>
        </w:tc>
        <w:tc>
          <w:tcPr>
            <w:tcW w:w="1410"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2B841F7">
            <w:pPr>
              <w:jc w:val="both"/>
              <w:rPr>
                <w:rFonts w:hint="default" w:ascii="Times New Roman" w:hAnsi="Times New Roman" w:cs="Times New Roman"/>
                <w:sz w:val="20"/>
                <w:szCs w:val="20"/>
              </w:rPr>
            </w:pPr>
          </w:p>
        </w:tc>
        <w:tc>
          <w:tcPr>
            <w:tcW w:w="1147" w:type="dxa"/>
            <w:vMerge w:val="continue"/>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7E683157">
            <w:pPr>
              <w:jc w:val="both"/>
              <w:rPr>
                <w:rFonts w:hint="default" w:ascii="Times New Roman" w:hAnsi="Times New Roman" w:cs="Times New Roman"/>
                <w:sz w:val="20"/>
                <w:szCs w:val="20"/>
              </w:rPr>
            </w:pP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18F7295">
            <w:pPr>
              <w:jc w:val="both"/>
              <w:rPr>
                <w:rFonts w:hint="default" w:ascii="Times New Roman" w:hAnsi="Times New Roman" w:cs="Times New Roman"/>
                <w:sz w:val="20"/>
                <w:szCs w:val="20"/>
              </w:rPr>
            </w:pPr>
          </w:p>
        </w:tc>
      </w:tr>
      <w:tr w14:paraId="5303584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04"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B9DC4C8">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76CB887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三级（市属）</w:t>
            </w:r>
          </w:p>
        </w:tc>
        <w:tc>
          <w:tcPr>
            <w:tcW w:w="1410"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6AA8CCF4">
            <w:pPr>
              <w:jc w:val="both"/>
              <w:rPr>
                <w:rFonts w:hint="default" w:ascii="Times New Roman" w:hAnsi="Times New Roman" w:cs="Times New Roman"/>
                <w:sz w:val="20"/>
                <w:szCs w:val="20"/>
              </w:rPr>
            </w:pPr>
          </w:p>
        </w:tc>
        <w:tc>
          <w:tcPr>
            <w:tcW w:w="1147" w:type="dxa"/>
            <w:vMerge w:val="continue"/>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29CE630A">
            <w:pPr>
              <w:jc w:val="both"/>
              <w:rPr>
                <w:rFonts w:hint="default" w:ascii="Times New Roman" w:hAnsi="Times New Roman" w:cs="Times New Roman"/>
                <w:sz w:val="20"/>
                <w:szCs w:val="20"/>
              </w:rPr>
            </w:pP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F8292D0">
            <w:pPr>
              <w:jc w:val="both"/>
              <w:rPr>
                <w:rFonts w:hint="default" w:ascii="Times New Roman" w:hAnsi="Times New Roman" w:cs="Times New Roman"/>
                <w:sz w:val="20"/>
                <w:szCs w:val="20"/>
              </w:rPr>
            </w:pPr>
          </w:p>
        </w:tc>
      </w:tr>
      <w:tr w14:paraId="0632641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83"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A2D266A">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7B8DFE5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三级（省属）</w:t>
            </w:r>
          </w:p>
        </w:tc>
        <w:tc>
          <w:tcPr>
            <w:tcW w:w="1410"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8F3C9AF">
            <w:pPr>
              <w:jc w:val="both"/>
              <w:rPr>
                <w:rFonts w:hint="default" w:ascii="Times New Roman" w:hAnsi="Times New Roman" w:cs="Times New Roman"/>
                <w:sz w:val="20"/>
                <w:szCs w:val="20"/>
              </w:rPr>
            </w:pPr>
          </w:p>
        </w:tc>
        <w:tc>
          <w:tcPr>
            <w:tcW w:w="1147" w:type="dxa"/>
            <w:vMerge w:val="continue"/>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59210DF3">
            <w:pPr>
              <w:jc w:val="both"/>
              <w:rPr>
                <w:rFonts w:hint="default" w:ascii="Times New Roman" w:hAnsi="Times New Roman" w:cs="Times New Roman"/>
                <w:sz w:val="20"/>
                <w:szCs w:val="20"/>
              </w:rPr>
            </w:pP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6431C62B">
            <w:pPr>
              <w:jc w:val="both"/>
              <w:rPr>
                <w:rFonts w:hint="default" w:ascii="Times New Roman" w:hAnsi="Times New Roman" w:cs="Times New Roman"/>
                <w:sz w:val="20"/>
                <w:szCs w:val="20"/>
              </w:rPr>
            </w:pPr>
          </w:p>
        </w:tc>
      </w:tr>
      <w:tr w14:paraId="502AEB1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83" w:hRule="atLeast"/>
          <w:jc w:val="center"/>
        </w:trPr>
        <w:tc>
          <w:tcPr>
            <w:tcW w:w="1083"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F78C19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100" w:beforeAutospacing="0" w:after="100" w:afterAutospacing="0"/>
              <w:ind w:left="0" w:right="0"/>
              <w:jc w:val="center"/>
              <w:rPr>
                <w:rFonts w:hint="default" w:ascii="Times New Roman" w:hAnsi="Times New Roman" w:cs="Times New Roman"/>
                <w:sz w:val="21"/>
                <w:szCs w:val="21"/>
              </w:rPr>
            </w:pPr>
            <w:r>
              <w:rPr>
                <w:rFonts w:hint="eastAsia" w:ascii="仿宋" w:hAnsi="仿宋" w:eastAsia="仿宋" w:cs="仿宋"/>
                <w:b/>
                <w:bCs/>
                <w:color w:val="08090C"/>
                <w:sz w:val="22"/>
                <w:szCs w:val="22"/>
              </w:rPr>
              <w:t>其他临时外出就医（省内）</w:t>
            </w: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176D9BF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一级及以下和乡镇卫生院（社区卫生服务中心）</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BEE46F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300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49018E1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75%</w:t>
            </w:r>
          </w:p>
        </w:tc>
        <w:tc>
          <w:tcPr>
            <w:tcW w:w="3051"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DEBB48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起付线以上5万元（含）45%</w:t>
            </w:r>
          </w:p>
          <w:p w14:paraId="4FB1871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5万元-10万元（含）50%</w:t>
            </w:r>
          </w:p>
          <w:p w14:paraId="04CF119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10万元-20万元（含）60%</w:t>
            </w:r>
          </w:p>
          <w:p w14:paraId="4D37495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20万元以上65%</w:t>
            </w:r>
          </w:p>
        </w:tc>
      </w:tr>
      <w:tr w14:paraId="5F06A0F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78"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2CCF44E6">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66B5540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二级和县级</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CF355E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750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1B4D722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65%</w:t>
            </w: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00803F3">
            <w:pPr>
              <w:jc w:val="both"/>
              <w:rPr>
                <w:rFonts w:hint="default" w:ascii="Times New Roman" w:hAnsi="Times New Roman" w:cs="Times New Roman"/>
                <w:sz w:val="20"/>
                <w:szCs w:val="20"/>
              </w:rPr>
            </w:pPr>
          </w:p>
        </w:tc>
      </w:tr>
      <w:tr w14:paraId="1EE29E6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07"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5942AE2">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0D53278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三级（市属）</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45EB65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1050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58F52A7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60%</w:t>
            </w: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986AD17">
            <w:pPr>
              <w:jc w:val="both"/>
              <w:rPr>
                <w:rFonts w:hint="default" w:ascii="Times New Roman" w:hAnsi="Times New Roman" w:cs="Times New Roman"/>
                <w:sz w:val="20"/>
                <w:szCs w:val="20"/>
              </w:rPr>
            </w:pPr>
          </w:p>
        </w:tc>
      </w:tr>
      <w:tr w14:paraId="1225E0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04"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11798AE">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04DDD52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三级（省属）</w:t>
            </w:r>
          </w:p>
        </w:tc>
        <w:tc>
          <w:tcPr>
            <w:tcW w:w="1410" w:type="dxa"/>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15EDF5E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1500</w:t>
            </w:r>
          </w:p>
        </w:tc>
        <w:tc>
          <w:tcPr>
            <w:tcW w:w="1147"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45A28C4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55%</w:t>
            </w: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68CB41F9">
            <w:pPr>
              <w:jc w:val="both"/>
              <w:rPr>
                <w:rFonts w:hint="default" w:ascii="Times New Roman" w:hAnsi="Times New Roman" w:cs="Times New Roman"/>
                <w:sz w:val="20"/>
                <w:szCs w:val="20"/>
              </w:rPr>
            </w:pPr>
          </w:p>
        </w:tc>
      </w:tr>
      <w:tr w14:paraId="56A36A7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83" w:hRule="atLeast"/>
          <w:jc w:val="center"/>
        </w:trPr>
        <w:tc>
          <w:tcPr>
            <w:tcW w:w="1083"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D7BEFC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100" w:beforeAutospacing="0" w:after="100" w:afterAutospacing="0"/>
              <w:ind w:left="0" w:right="0"/>
              <w:jc w:val="center"/>
              <w:rPr>
                <w:rFonts w:hint="default" w:ascii="Times New Roman" w:hAnsi="Times New Roman" w:cs="Times New Roman"/>
                <w:sz w:val="21"/>
                <w:szCs w:val="21"/>
              </w:rPr>
            </w:pPr>
            <w:r>
              <w:rPr>
                <w:rFonts w:hint="eastAsia" w:ascii="仿宋" w:hAnsi="仿宋" w:eastAsia="仿宋" w:cs="仿宋"/>
                <w:b/>
                <w:bCs/>
                <w:color w:val="08090C"/>
                <w:sz w:val="22"/>
                <w:szCs w:val="22"/>
              </w:rPr>
              <w:t>其他临时外出就医（省外）</w:t>
            </w: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0A28E0A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一级及以下和乡镇卫生院（社区卫生服务中心）</w:t>
            </w:r>
          </w:p>
        </w:tc>
        <w:tc>
          <w:tcPr>
            <w:tcW w:w="1410"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04E85B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18"/>
                <w:szCs w:val="18"/>
              </w:rPr>
              <w:t>按当次住院总费用20%计算（不足2000元的按2000元计算，最高不超过1万元）</w:t>
            </w:r>
          </w:p>
        </w:tc>
        <w:tc>
          <w:tcPr>
            <w:tcW w:w="1147" w:type="dxa"/>
            <w:vMerge w:val="restart"/>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73CC344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50%</w:t>
            </w:r>
          </w:p>
        </w:tc>
        <w:tc>
          <w:tcPr>
            <w:tcW w:w="3051" w:type="dxa"/>
            <w:vMerge w:val="restart"/>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9497DA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起付线以上5万元（含）40%</w:t>
            </w:r>
          </w:p>
          <w:p w14:paraId="3691882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5万元-10万元（含）45%</w:t>
            </w:r>
          </w:p>
          <w:p w14:paraId="5FCFE62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10万元-20万元（含）55%</w:t>
            </w:r>
          </w:p>
          <w:p w14:paraId="565B61B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20万元以上60%</w:t>
            </w:r>
          </w:p>
        </w:tc>
      </w:tr>
      <w:tr w14:paraId="535F41B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3E1DABC">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1623289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二级和县级</w:t>
            </w:r>
          </w:p>
        </w:tc>
        <w:tc>
          <w:tcPr>
            <w:tcW w:w="1410"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06168B8">
            <w:pPr>
              <w:jc w:val="both"/>
              <w:rPr>
                <w:rFonts w:hint="default" w:ascii="Times New Roman" w:hAnsi="Times New Roman" w:cs="Times New Roman"/>
                <w:sz w:val="20"/>
                <w:szCs w:val="20"/>
              </w:rPr>
            </w:pPr>
          </w:p>
        </w:tc>
        <w:tc>
          <w:tcPr>
            <w:tcW w:w="1147" w:type="dxa"/>
            <w:vMerge w:val="continue"/>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482AEAFD">
            <w:pPr>
              <w:jc w:val="both"/>
              <w:rPr>
                <w:rFonts w:hint="default" w:ascii="Times New Roman" w:hAnsi="Times New Roman" w:cs="Times New Roman"/>
                <w:sz w:val="20"/>
                <w:szCs w:val="20"/>
              </w:rPr>
            </w:pP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6E8E237">
            <w:pPr>
              <w:jc w:val="both"/>
              <w:rPr>
                <w:rFonts w:hint="default" w:ascii="Times New Roman" w:hAnsi="Times New Roman" w:cs="Times New Roman"/>
                <w:sz w:val="20"/>
                <w:szCs w:val="20"/>
              </w:rPr>
            </w:pPr>
          </w:p>
        </w:tc>
      </w:tr>
      <w:tr w14:paraId="5558198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72"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05B4258B">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4A90E69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三级（市属）</w:t>
            </w:r>
          </w:p>
        </w:tc>
        <w:tc>
          <w:tcPr>
            <w:tcW w:w="1410"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3A2EB7E0">
            <w:pPr>
              <w:jc w:val="both"/>
              <w:rPr>
                <w:rFonts w:hint="default" w:ascii="Times New Roman" w:hAnsi="Times New Roman" w:cs="Times New Roman"/>
                <w:sz w:val="20"/>
                <w:szCs w:val="20"/>
              </w:rPr>
            </w:pPr>
          </w:p>
        </w:tc>
        <w:tc>
          <w:tcPr>
            <w:tcW w:w="1147" w:type="dxa"/>
            <w:vMerge w:val="continue"/>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60DDF4DC">
            <w:pPr>
              <w:jc w:val="both"/>
              <w:rPr>
                <w:rFonts w:hint="default" w:ascii="Times New Roman" w:hAnsi="Times New Roman" w:cs="Times New Roman"/>
                <w:sz w:val="20"/>
                <w:szCs w:val="20"/>
              </w:rPr>
            </w:pP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AE933C0">
            <w:pPr>
              <w:jc w:val="both"/>
              <w:rPr>
                <w:rFonts w:hint="default" w:ascii="Times New Roman" w:hAnsi="Times New Roman" w:cs="Times New Roman"/>
                <w:sz w:val="20"/>
                <w:szCs w:val="20"/>
              </w:rPr>
            </w:pPr>
          </w:p>
        </w:tc>
      </w:tr>
      <w:tr w14:paraId="58FB0B5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86" w:hRule="atLeast"/>
          <w:jc w:val="center"/>
        </w:trPr>
        <w:tc>
          <w:tcPr>
            <w:tcW w:w="1083"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6A37AAC5">
            <w:pPr>
              <w:jc w:val="both"/>
              <w:rPr>
                <w:rFonts w:hint="default" w:ascii="Times New Roman" w:hAnsi="Times New Roman" w:cs="Times New Roman"/>
                <w:sz w:val="20"/>
                <w:szCs w:val="20"/>
              </w:rPr>
            </w:pPr>
          </w:p>
        </w:tc>
        <w:tc>
          <w:tcPr>
            <w:tcW w:w="2549" w:type="dxa"/>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3DECF34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仿宋" w:hAnsi="仿宋" w:eastAsia="仿宋" w:cs="仿宋"/>
                <w:color w:val="000000"/>
                <w:sz w:val="22"/>
                <w:szCs w:val="22"/>
              </w:rPr>
              <w:t>三级（省属）</w:t>
            </w:r>
          </w:p>
        </w:tc>
        <w:tc>
          <w:tcPr>
            <w:tcW w:w="1410"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407FDA46">
            <w:pPr>
              <w:jc w:val="both"/>
              <w:rPr>
                <w:rFonts w:hint="default" w:ascii="Times New Roman" w:hAnsi="Times New Roman" w:cs="Times New Roman"/>
                <w:sz w:val="20"/>
                <w:szCs w:val="20"/>
              </w:rPr>
            </w:pPr>
          </w:p>
        </w:tc>
        <w:tc>
          <w:tcPr>
            <w:tcW w:w="1147" w:type="dxa"/>
            <w:vMerge w:val="continue"/>
            <w:tcBorders>
              <w:top w:val="nil"/>
              <w:left w:val="single" w:color="auto" w:sz="6" w:space="0"/>
              <w:bottom w:val="single" w:color="auto" w:sz="6" w:space="0"/>
              <w:right w:val="single" w:color="auto" w:sz="6" w:space="0"/>
            </w:tcBorders>
            <w:shd w:val="clear" w:color="auto" w:fill="F2F2F2"/>
            <w:tcMar>
              <w:top w:w="0" w:type="dxa"/>
              <w:left w:w="108" w:type="dxa"/>
              <w:bottom w:w="0" w:type="dxa"/>
              <w:right w:w="108" w:type="dxa"/>
            </w:tcMar>
            <w:vAlign w:val="center"/>
          </w:tcPr>
          <w:p w14:paraId="358F675F">
            <w:pPr>
              <w:jc w:val="both"/>
              <w:rPr>
                <w:rFonts w:hint="default" w:ascii="Times New Roman" w:hAnsi="Times New Roman" w:cs="Times New Roman"/>
                <w:sz w:val="20"/>
                <w:szCs w:val="20"/>
              </w:rPr>
            </w:pPr>
          </w:p>
        </w:tc>
        <w:tc>
          <w:tcPr>
            <w:tcW w:w="3051" w:type="dxa"/>
            <w:vMerge w:val="continue"/>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555E0922">
            <w:pPr>
              <w:jc w:val="both"/>
              <w:rPr>
                <w:rFonts w:hint="default" w:ascii="Times New Roman" w:hAnsi="Times New Roman" w:cs="Times New Roman"/>
                <w:sz w:val="20"/>
                <w:szCs w:val="20"/>
              </w:rPr>
            </w:pPr>
          </w:p>
        </w:tc>
      </w:tr>
      <w:tr w14:paraId="0DD45AD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trHeight w:val="2312" w:hRule="atLeast"/>
          <w:jc w:val="center"/>
        </w:trPr>
        <w:tc>
          <w:tcPr>
            <w:tcW w:w="9240" w:type="dxa"/>
            <w:gridSpan w:val="5"/>
            <w:tcBorders>
              <w:top w:val="nil"/>
              <w:left w:val="single" w:color="auto" w:sz="6" w:space="0"/>
              <w:bottom w:val="single" w:color="auto" w:sz="6" w:space="0"/>
              <w:right w:val="single" w:color="auto" w:sz="6" w:space="0"/>
            </w:tcBorders>
            <w:shd w:val="clear" w:color="auto" w:fill="FFFFFF"/>
            <w:tcMar>
              <w:top w:w="0" w:type="dxa"/>
              <w:left w:w="108" w:type="dxa"/>
              <w:bottom w:w="0" w:type="dxa"/>
              <w:right w:w="108" w:type="dxa"/>
            </w:tcMar>
            <w:vAlign w:val="center"/>
          </w:tcPr>
          <w:p w14:paraId="70EAF74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80" w:lineRule="atLeast"/>
              <w:ind w:left="0" w:right="0"/>
              <w:jc w:val="left"/>
              <w:rPr>
                <w:rFonts w:hint="default" w:ascii="Times New Roman" w:hAnsi="Times New Roman" w:cs="Times New Roman"/>
                <w:sz w:val="21"/>
                <w:szCs w:val="21"/>
              </w:rPr>
            </w:pPr>
            <w:r>
              <w:rPr>
                <w:rFonts w:hint="eastAsia" w:ascii="仿宋" w:hAnsi="仿宋" w:eastAsia="仿宋" w:cs="仿宋"/>
                <w:b/>
                <w:bCs/>
                <w:color w:val="08090C"/>
                <w:sz w:val="22"/>
                <w:szCs w:val="22"/>
              </w:rPr>
              <w:t>备注：1.按照皖医保秘〔2022〕103号文件规定：异地长期居住人员包括：异地安置退休人员、异地长期居住人员、常驻异地工作人员；临时外出就医人员包括异地转诊就医人员和其他临时外出就医人员。</w:t>
            </w:r>
          </w:p>
          <w:p w14:paraId="68176A3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line="280" w:lineRule="atLeast"/>
              <w:ind w:left="0" w:right="0"/>
              <w:jc w:val="both"/>
              <w:rPr>
                <w:rFonts w:hint="default" w:ascii="Times New Roman" w:hAnsi="Times New Roman" w:cs="Times New Roman"/>
                <w:sz w:val="21"/>
                <w:szCs w:val="21"/>
              </w:rPr>
            </w:pPr>
            <w:r>
              <w:rPr>
                <w:rFonts w:hint="eastAsia" w:ascii="仿宋" w:hAnsi="仿宋" w:eastAsia="仿宋" w:cs="仿宋"/>
                <w:b/>
                <w:bCs/>
                <w:color w:val="08090C"/>
                <w:sz w:val="22"/>
                <w:szCs w:val="22"/>
              </w:rPr>
              <w:t>2.基本医保年度报销限额：30万元，包含各种医保结算类别。</w:t>
            </w:r>
          </w:p>
          <w:p w14:paraId="13EB95E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bCs/>
                <w:sz w:val="22"/>
                <w:szCs w:val="22"/>
              </w:rPr>
              <w:t>3.一个保险年度内</w:t>
            </w:r>
            <w:r>
              <w:rPr>
                <w:rFonts w:hint="eastAsia" w:ascii="仿宋" w:hAnsi="仿宋" w:eastAsia="仿宋" w:cs="仿宋"/>
                <w:b/>
                <w:bCs/>
                <w:color w:val="08090C"/>
                <w:sz w:val="22"/>
                <w:szCs w:val="22"/>
              </w:rPr>
              <w:t>，普通人群大病保险起付线1.7万元，年度报销限额30万元；特殊人群（特困人员、低保对象和返贫致贫人口3类人群），大病保险起付线0.85万元，上述各段报销比例较普通人群提高5个百分点，不设封顶线；罕见病人群，按《安徽省医疗保障局安徽省财政厅关于进一步规范统一医保基金支付范围</w:t>
            </w:r>
            <w:r>
              <w:rPr>
                <w:rFonts w:hint="eastAsia" w:ascii="仿宋" w:hAnsi="仿宋" w:eastAsia="仿宋" w:cs="仿宋"/>
                <w:b/>
                <w:bCs/>
                <w:sz w:val="22"/>
                <w:szCs w:val="22"/>
              </w:rPr>
              <w:t>的通知》（皖医保发〔2024〕7号）执行。</w:t>
            </w:r>
          </w:p>
          <w:p w14:paraId="038B784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bCs/>
                <w:color w:val="08090C"/>
                <w:sz w:val="22"/>
                <w:szCs w:val="22"/>
              </w:rPr>
              <w:t>4.医疗救助对象需按规定办理转诊手续。</w:t>
            </w:r>
          </w:p>
          <w:p w14:paraId="1410FC6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仿宋" w:hAnsi="仿宋" w:eastAsia="仿宋" w:cs="仿宋"/>
                <w:b/>
                <w:bCs/>
                <w:color w:val="08090C"/>
                <w:sz w:val="22"/>
                <w:szCs w:val="22"/>
              </w:rPr>
              <w:t>5.基本医保按单病种付费、省内大病无异地、多疗程住院病种等按现行规定执行；住院前急诊抢救费用可纳入当次住院费用或比照一次住院费用按规定进行医保报销。</w:t>
            </w:r>
          </w:p>
        </w:tc>
      </w:tr>
    </w:tbl>
    <w:p w14:paraId="283591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黑体" w:hAnsi="宋体" w:eastAsia="黑体" w:cs="黑体"/>
          <w:i w:val="0"/>
          <w:iCs w:val="0"/>
          <w:caps w:val="0"/>
          <w:color w:val="4BACC6"/>
          <w:spacing w:val="0"/>
          <w:sz w:val="32"/>
          <w:szCs w:val="32"/>
          <w:shd w:val="clear" w:fill="FFFFFF"/>
        </w:rPr>
        <w:t>三、城乡居民医保意外伤害住院费用如何享受待遇？</w:t>
      </w:r>
    </w:p>
    <w:p w14:paraId="21048D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1.明确无他方责任的意外伤害住院，</w:t>
      </w:r>
      <w:r>
        <w:rPr>
          <w:rFonts w:hint="eastAsia" w:ascii="仿宋" w:hAnsi="仿宋" w:eastAsia="仿宋" w:cs="仿宋"/>
          <w:i w:val="0"/>
          <w:iCs w:val="0"/>
          <w:caps w:val="0"/>
          <w:color w:val="333333"/>
          <w:spacing w:val="0"/>
          <w:sz w:val="32"/>
          <w:szCs w:val="32"/>
          <w:shd w:val="clear" w:fill="FFFFFF"/>
          <w:lang w:val="en-US" w:eastAsia="zh-CN"/>
        </w:rPr>
        <w:t>市本级患者</w:t>
      </w:r>
      <w:r>
        <w:rPr>
          <w:rFonts w:hint="eastAsia" w:ascii="仿宋" w:hAnsi="仿宋" w:eastAsia="仿宋" w:cs="仿宋"/>
          <w:i w:val="0"/>
          <w:iCs w:val="0"/>
          <w:caps w:val="0"/>
          <w:color w:val="333333"/>
          <w:spacing w:val="0"/>
          <w:sz w:val="32"/>
          <w:szCs w:val="32"/>
          <w:shd w:val="clear" w:fill="FFFFFF"/>
        </w:rPr>
        <w:t>按照</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无他方责任意外伤害）</w:t>
      </w:r>
      <w:r>
        <w:rPr>
          <w:rFonts w:hint="eastAsia" w:ascii="仿宋" w:hAnsi="仿宋" w:eastAsia="仿宋" w:cs="仿宋"/>
          <w:i w:val="0"/>
          <w:iCs w:val="0"/>
          <w:caps w:val="0"/>
          <w:color w:val="333333"/>
          <w:spacing w:val="0"/>
          <w:sz w:val="32"/>
          <w:szCs w:val="32"/>
          <w:shd w:val="clear" w:fill="FFFFFF"/>
          <w:lang w:val="en-US" w:eastAsia="zh-CN"/>
        </w:rPr>
        <w:t>办理结算，（省内异地）患者按照</w:t>
      </w:r>
      <w:r>
        <w:rPr>
          <w:rFonts w:hint="eastAsia" w:ascii="仿宋" w:hAnsi="仿宋" w:eastAsia="仿宋" w:cs="仿宋"/>
          <w:i w:val="0"/>
          <w:iCs w:val="0"/>
          <w:caps w:val="0"/>
          <w:color w:val="333333"/>
          <w:spacing w:val="0"/>
          <w:sz w:val="32"/>
          <w:szCs w:val="32"/>
          <w:shd w:val="clear" w:fill="FFFFFF"/>
        </w:rPr>
        <w:t>普通住院待遇报销；</w:t>
      </w:r>
    </w:p>
    <w:p w14:paraId="4D9D71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2.明确有他方责任的意外伤害住院，根据相关部门划分的责任分担比例，对于超出第三方责任以外由本人承担的住院医疗费用，按照</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无他方责任意外伤害）</w:t>
      </w:r>
      <w:r>
        <w:rPr>
          <w:rFonts w:hint="eastAsia" w:ascii="仿宋" w:hAnsi="仿宋" w:eastAsia="仿宋" w:cs="仿宋"/>
          <w:i w:val="0"/>
          <w:iCs w:val="0"/>
          <w:caps w:val="0"/>
          <w:color w:val="333333"/>
          <w:spacing w:val="0"/>
          <w:sz w:val="32"/>
          <w:szCs w:val="32"/>
          <w:shd w:val="clear" w:fill="FFFFFF"/>
        </w:rPr>
        <w:t>住院待遇报销，相关部门未划分责任比例的，根据调解文书、法律文书等确定医保基金分担比例；</w:t>
      </w:r>
    </w:p>
    <w:p w14:paraId="72E4B7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3.无法确定他方责任的意外伤害住院医疗费用，参保人员承诺无他方责任后，按照</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无他方责任意外伤害）</w:t>
      </w:r>
      <w:r>
        <w:rPr>
          <w:rFonts w:hint="eastAsia" w:ascii="仿宋" w:hAnsi="仿宋" w:eastAsia="仿宋" w:cs="仿宋"/>
          <w:i w:val="0"/>
          <w:iCs w:val="0"/>
          <w:caps w:val="0"/>
          <w:color w:val="333333"/>
          <w:spacing w:val="0"/>
          <w:sz w:val="32"/>
          <w:szCs w:val="32"/>
          <w:shd w:val="clear" w:fill="FFFFFF"/>
        </w:rPr>
        <w:t>住院待遇报销。出现虚假承诺骗取医保基金的，按照法律法规有关规定追究相关责任。</w:t>
      </w:r>
    </w:p>
    <w:p w14:paraId="221602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48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shd w:val="clear" w:fill="FFFFFF"/>
        </w:rPr>
        <w:t>因见义勇为发生的医药费用，执行《安徽省见义勇为人员奖 励和保障条例》有关规定。因执行救灾救援等公益任务而负伤住 院的，可按照</w:t>
      </w:r>
      <w:r>
        <w:rPr>
          <w:rFonts w:hint="eastAsia" w:ascii="仿宋" w:hAnsi="仿宋" w:eastAsia="仿宋" w:cs="仿宋"/>
          <w:i w:val="0"/>
          <w:iCs w:val="0"/>
          <w:caps w:val="0"/>
          <w:color w:val="333333"/>
          <w:spacing w:val="0"/>
          <w:sz w:val="32"/>
          <w:szCs w:val="32"/>
          <w:shd w:val="clear" w:fill="FFFFFF"/>
          <w:lang w:eastAsia="zh-CN"/>
        </w:rPr>
        <w:t>（</w:t>
      </w:r>
      <w:r>
        <w:rPr>
          <w:rFonts w:hint="eastAsia" w:ascii="仿宋" w:hAnsi="仿宋" w:eastAsia="仿宋" w:cs="仿宋"/>
          <w:i w:val="0"/>
          <w:iCs w:val="0"/>
          <w:caps w:val="0"/>
          <w:color w:val="333333"/>
          <w:spacing w:val="0"/>
          <w:sz w:val="32"/>
          <w:szCs w:val="32"/>
          <w:shd w:val="clear" w:fill="FFFFFF"/>
          <w:lang w:val="en-US" w:eastAsia="zh-CN"/>
        </w:rPr>
        <w:t>无他方责任意外伤害）</w:t>
      </w:r>
      <w:bookmarkStart w:id="0" w:name="_GoBack"/>
      <w:bookmarkEnd w:id="0"/>
      <w:r>
        <w:rPr>
          <w:rFonts w:hint="eastAsia" w:ascii="仿宋" w:hAnsi="仿宋" w:eastAsia="仿宋" w:cs="仿宋"/>
          <w:i w:val="0"/>
          <w:iCs w:val="0"/>
          <w:caps w:val="0"/>
          <w:color w:val="333333"/>
          <w:spacing w:val="0"/>
          <w:sz w:val="32"/>
          <w:szCs w:val="32"/>
          <w:shd w:val="clear" w:fill="FFFFFF"/>
        </w:rPr>
        <w:t>待遇报销，须提供县级或县以上政府相关 部门出具的情节证据。</w:t>
      </w:r>
    </w:p>
    <w:p w14:paraId="4F3B4EA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A876BD"/>
    <w:rsid w:val="1871012F"/>
    <w:rsid w:val="4AA87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1998</Words>
  <Characters>2450</Characters>
  <Lines>0</Lines>
  <Paragraphs>0</Paragraphs>
  <TotalTime>6</TotalTime>
  <ScaleCrop>false</ScaleCrop>
  <LinksUpToDate>false</LinksUpToDate>
  <CharactersWithSpaces>2460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2026-09-08T06:37:00Z</dcterms:created>
  <dc:creator>sunnyM </dc:creator>
  <cp:lastModifiedBy>宋杰</cp:lastModifiedBy>
  <dcterms:modified xsi:type="dcterms:W3CDTF">2026-09-08T07:07:11Z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4AD9CF3215BB49369E5395521365CE56_13</vt:lpwstr>
  </property>
  <property fmtid="{D5CDD505-2E9C-101B-9397-08002B2CF9AE}" pid="4" name="KSOTemplateDocerSaveRecord">
    <vt:lpwstr>eyJoZGlkIjoiN2YyY2U3YTBkOGU2OTMxZWJmZjBlMmRkYjllMTdiYWEiLCJ1c2VySWQiOiIyNDQzNDcyNTIifQ==</vt:lpwstr>
  </property>
</Properties>
</file>